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R4-2507511</w:t>
      </w:r>
      <w:bookmarkStart w:id="9" w:name="_GoBack"/>
      <w:bookmarkEnd w:id="9"/>
      <w:r>
        <w:rPr>
          <w:rFonts w:hint="eastAsia" w:ascii="Arial" w:hAnsi="Arial" w:cs="Arial"/>
          <w:b/>
          <w:sz w:val="24"/>
          <w:szCs w:val="24"/>
        </w:rPr>
        <w:t xml:space="preserve">                        </w:t>
      </w:r>
    </w:p>
    <w:p w14:paraId="462BBED6">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Malta</w:t>
      </w:r>
      <w:r>
        <w:rPr>
          <w:rFonts w:ascii="Arial" w:hAnsi="Arial" w:cs="Arial"/>
          <w:b/>
          <w:sz w:val="24"/>
          <w:szCs w:val="24"/>
          <w:lang w:eastAsia="zh-CN"/>
        </w:rPr>
        <w:t xml:space="preserve">, </w:t>
      </w:r>
      <w:r>
        <w:rPr>
          <w:rFonts w:hint="eastAsia" w:ascii="Arial" w:hAnsi="Arial" w:cs="Arial"/>
          <w:b/>
          <w:sz w:val="24"/>
          <w:szCs w:val="24"/>
          <w:lang w:val="en-US" w:eastAsia="zh-CN"/>
        </w:rPr>
        <w:t>MT</w:t>
      </w:r>
      <w:r>
        <w:rPr>
          <w:rFonts w:ascii="Arial" w:hAnsi="Arial" w:cs="Arial"/>
          <w:b/>
          <w:sz w:val="24"/>
          <w:szCs w:val="24"/>
          <w:lang w:eastAsia="zh-CN"/>
        </w:rPr>
        <w:t xml:space="preserve">, </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May, 2025</w:t>
      </w:r>
    </w:p>
    <w:p w14:paraId="52D26056">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7</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13</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3.2</w:t>
      </w:r>
    </w:p>
    <w:p w14:paraId="5AA00193">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eastAsia="宋体" w:cs="Arial"/>
          <w:b/>
          <w:sz w:val="24"/>
          <w:szCs w:val="24"/>
          <w:lang w:val="en-US" w:eastAsia="zh-CN"/>
        </w:rPr>
        <w:t>, Sanechips</w:t>
      </w:r>
    </w:p>
    <w:p w14:paraId="66F97A8A">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Further d</w:t>
      </w:r>
      <w:r>
        <w:rPr>
          <w:rFonts w:hint="eastAsia" w:ascii="Arial" w:hAnsi="Arial" w:eastAsia="MS Mincho" w:cs="Arial"/>
          <w:b/>
          <w:sz w:val="24"/>
          <w:szCs w:val="24"/>
          <w:lang w:val="en-US" w:eastAsia="zh-CN"/>
        </w:rPr>
        <w:t xml:space="preserve">iscussion on </w:t>
      </w:r>
      <w:r>
        <w:rPr>
          <w:rFonts w:ascii="Arial" w:hAnsi="Arial" w:eastAsia="MS Mincho" w:cs="Arial"/>
          <w:b/>
          <w:sz w:val="24"/>
          <w:szCs w:val="24"/>
          <w:lang w:eastAsia="en-US"/>
        </w:rPr>
        <w:t>OTA test enhancement</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val="en-US" w:eastAsia="en-US"/>
        </w:rPr>
        <w:t xml:space="preserve"> </w:t>
      </w:r>
    </w:p>
    <w:p w14:paraId="4AA94FA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6AFA017E">
      <w:pPr>
        <w:pStyle w:val="57"/>
        <w:tabs>
          <w:tab w:val="left" w:pos="567"/>
          <w:tab w:val="clear" w:pos="1985"/>
        </w:tabs>
        <w:adjustRightInd w:val="0"/>
        <w:ind w:left="510" w:hanging="510"/>
      </w:pPr>
      <w:r>
        <w:t>Introduction</w:t>
      </w:r>
    </w:p>
    <w:p w14:paraId="301CEBEA">
      <w:pPr>
        <w:tabs>
          <w:tab w:val="left" w:pos="2127"/>
        </w:tabs>
        <w:spacing w:after="0"/>
        <w:rPr>
          <w:rFonts w:hint="eastAsia"/>
          <w:lang w:val="en-US" w:eastAsia="zh-CN"/>
        </w:rPr>
      </w:pPr>
      <w:r>
        <w:rPr>
          <w:rFonts w:hint="eastAsia"/>
          <w:lang w:val="en-US" w:eastAsia="zh-CN"/>
        </w:rPr>
        <w:t>In the RAN#103 meeting, new WID for Rel-19 BS RF evolution has been approved and it</w:t>
      </w:r>
      <w:r>
        <w:rPr>
          <w:rFonts w:hint="default"/>
          <w:lang w:val="en-US" w:eastAsia="zh-CN"/>
        </w:rPr>
        <w:t>’</w:t>
      </w:r>
      <w:r>
        <w:rPr>
          <w:rFonts w:hint="eastAsia"/>
          <w:lang w:val="en-US" w:eastAsia="zh-CN"/>
        </w:rPr>
        <w:t>s expected to start the normative work from this April meeting. In last RAN4 meeting, we have some further discussions on the necessity of improvement of co-location issues. In this contribution, we would like to share further views on the OTA co-location requirements.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A751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C67EEAA">
            <w:pPr>
              <w:pStyle w:val="3"/>
              <w:suppressLineNumbers w:val="0"/>
              <w:spacing w:beforeAutospacing="0" w:afterAutospacing="0"/>
              <w:ind w:right="0"/>
              <w:rPr>
                <w:rFonts w:hint="default"/>
                <w:lang w:eastAsia="zh-CN"/>
              </w:rPr>
            </w:pPr>
            <w:r>
              <w:rPr>
                <w:rFonts w:hint="default"/>
              </w:rPr>
              <w:t>Sub-topic 1-1: TX IMD co-location</w:t>
            </w:r>
          </w:p>
          <w:p w14:paraId="5A3BB823">
            <w:pPr>
              <w:keepNext w:val="0"/>
              <w:keepLines w:val="0"/>
              <w:suppressLineNumbers w:val="0"/>
              <w:overflowPunct/>
              <w:autoSpaceDE/>
              <w:autoSpaceDN/>
              <w:adjustRightInd/>
              <w:spacing w:before="0" w:beforeAutospacing="0" w:after="120" w:afterAutospacing="0"/>
              <w:ind w:left="0" w:right="0"/>
              <w:textAlignment w:val="auto"/>
              <w:rPr>
                <w:rFonts w:hint="default"/>
                <w:lang w:eastAsia="zh-CN"/>
              </w:rPr>
            </w:pPr>
            <w:r>
              <w:rPr>
                <w:rFonts w:hint="default"/>
                <w:b/>
                <w:lang w:eastAsia="zh-CN"/>
              </w:rPr>
              <w:t>Way forward</w:t>
            </w:r>
            <w:r>
              <w:rPr>
                <w:rFonts w:hint="default"/>
                <w:lang w:eastAsia="zh-CN"/>
              </w:rPr>
              <w:t>:</w:t>
            </w:r>
          </w:p>
          <w:p w14:paraId="4FAC1CD4">
            <w:pPr>
              <w:keepNext w:val="0"/>
              <w:keepLines w:val="0"/>
              <w:suppressLineNumbers w:val="0"/>
              <w:overflowPunct/>
              <w:autoSpaceDE/>
              <w:autoSpaceDN/>
              <w:adjustRightInd/>
              <w:spacing w:before="0" w:beforeAutospacing="0" w:after="120" w:afterAutospacing="0"/>
              <w:ind w:left="0" w:right="0"/>
              <w:textAlignment w:val="auto"/>
              <w:rPr>
                <w:rFonts w:hint="default"/>
              </w:rPr>
            </w:pPr>
            <w:r>
              <w:rPr>
                <w:rFonts w:hint="default"/>
              </w:rPr>
              <w:t>Intra-system TX IMD requirement is not within the scope of this WI. Therefore, no impact on Intra-system TX IMD requirement.</w:t>
            </w:r>
          </w:p>
          <w:p w14:paraId="057B55CA">
            <w:pPr>
              <w:pStyle w:val="3"/>
              <w:suppressLineNumbers w:val="0"/>
              <w:spacing w:beforeAutospacing="0" w:afterAutospacing="0"/>
              <w:ind w:right="0"/>
              <w:rPr>
                <w:rFonts w:hint="default"/>
                <w:lang w:eastAsia="zh-CN"/>
              </w:rPr>
            </w:pPr>
            <w:r>
              <w:rPr>
                <w:rFonts w:hint="default"/>
              </w:rPr>
              <w:t>Sub-topic 1-2: Beam steering</w:t>
            </w:r>
          </w:p>
          <w:p w14:paraId="7BA7F102">
            <w:pPr>
              <w:keepNext w:val="0"/>
              <w:keepLines w:val="0"/>
              <w:suppressLineNumbers w:val="0"/>
              <w:tabs>
                <w:tab w:val="left" w:pos="420"/>
                <w:tab w:val="left" w:pos="840"/>
                <w:tab w:val="left" w:pos="1260"/>
                <w:tab w:val="left" w:pos="2171"/>
              </w:tabs>
              <w:spacing w:before="0" w:beforeAutospacing="0" w:afterAutospacing="0"/>
              <w:ind w:left="0" w:right="0"/>
              <w:rPr>
                <w:rFonts w:hint="default"/>
              </w:rPr>
            </w:pPr>
            <w:r>
              <w:rPr>
                <w:rFonts w:hint="default"/>
                <w:b/>
                <w:lang w:eastAsia="zh-CN"/>
              </w:rPr>
              <w:t>Way forward</w:t>
            </w:r>
            <w:r>
              <w:rPr>
                <w:rFonts w:hint="default"/>
                <w:lang w:eastAsia="zh-CN"/>
              </w:rPr>
              <w:t>:</w:t>
            </w:r>
          </w:p>
          <w:p w14:paraId="6CC1EF08">
            <w:pPr>
              <w:keepNext w:val="0"/>
              <w:keepLines w:val="0"/>
              <w:suppressLineNumbers w:val="0"/>
              <w:spacing w:before="0" w:beforeAutospacing="0" w:afterAutospacing="0"/>
              <w:ind w:left="0" w:right="0"/>
              <w:rPr>
                <w:rFonts w:hint="default"/>
              </w:rPr>
            </w:pPr>
            <w:r>
              <w:rPr>
                <w:rFonts w:hint="default"/>
              </w:rPr>
              <w:t>Beam steering impact on the RF requirements can be investigated case-by-case for the pre-selected requirements (as agreed in R4-2502279):</w:t>
            </w:r>
          </w:p>
          <w:p w14:paraId="66FBFF83">
            <w:pPr>
              <w:pStyle w:val="48"/>
              <w:keepNext w:val="0"/>
              <w:keepLines w:val="0"/>
              <w:widowControl w:val="0"/>
              <w:numPr>
                <w:ilvl w:val="0"/>
                <w:numId w:val="4"/>
              </w:numPr>
              <w:suppressLineNumbers w:val="0"/>
              <w:overflowPunct/>
              <w:autoSpaceDE/>
              <w:autoSpaceDN/>
              <w:adjustRightInd/>
              <w:spacing w:before="0" w:beforeAutospacing="0" w:after="160" w:afterAutospacing="0" w:line="259" w:lineRule="auto"/>
              <w:ind w:right="0"/>
              <w:jc w:val="both"/>
              <w:rPr>
                <w:rFonts w:hint="default"/>
              </w:rPr>
            </w:pPr>
            <w:r>
              <w:rPr>
                <w:rFonts w:hint="default"/>
              </w:rPr>
              <w:t>Transmitter OFF power requirement,</w:t>
            </w:r>
          </w:p>
          <w:p w14:paraId="6C863D4C">
            <w:pPr>
              <w:pStyle w:val="48"/>
              <w:keepNext w:val="0"/>
              <w:keepLines w:val="0"/>
              <w:widowControl w:val="0"/>
              <w:numPr>
                <w:ilvl w:val="0"/>
                <w:numId w:val="4"/>
              </w:numPr>
              <w:suppressLineNumbers w:val="0"/>
              <w:overflowPunct/>
              <w:autoSpaceDE/>
              <w:autoSpaceDN/>
              <w:adjustRightInd/>
              <w:spacing w:before="0" w:beforeAutospacing="0" w:after="160" w:afterAutospacing="0" w:line="259" w:lineRule="auto"/>
              <w:ind w:right="0"/>
              <w:jc w:val="both"/>
              <w:rPr>
                <w:rFonts w:hint="default"/>
              </w:rPr>
            </w:pPr>
            <w:r>
              <w:rPr>
                <w:rFonts w:hint="default"/>
              </w:rPr>
              <w:t>Co-location spurious emission requirement/Protection of the BS receiver of own or different BS,</w:t>
            </w:r>
          </w:p>
          <w:p w14:paraId="74EA7E59">
            <w:pPr>
              <w:pStyle w:val="48"/>
              <w:keepNext w:val="0"/>
              <w:keepLines w:val="0"/>
              <w:widowControl w:val="0"/>
              <w:numPr>
                <w:ilvl w:val="0"/>
                <w:numId w:val="4"/>
              </w:numPr>
              <w:suppressLineNumbers w:val="0"/>
              <w:overflowPunct/>
              <w:autoSpaceDE/>
              <w:autoSpaceDN/>
              <w:adjustRightInd/>
              <w:spacing w:before="0" w:beforeAutospacing="0" w:after="160" w:afterAutospacing="0" w:line="259" w:lineRule="auto"/>
              <w:ind w:right="0"/>
              <w:jc w:val="both"/>
              <w:rPr>
                <w:rFonts w:hint="default"/>
              </w:rPr>
            </w:pPr>
            <w:r>
              <w:rPr>
                <w:rFonts w:hint="default"/>
              </w:rPr>
              <w:t>Tx IMD requirement,</w:t>
            </w:r>
          </w:p>
          <w:p w14:paraId="1B49B391">
            <w:pPr>
              <w:pStyle w:val="48"/>
              <w:keepNext w:val="0"/>
              <w:keepLines w:val="0"/>
              <w:widowControl w:val="0"/>
              <w:numPr>
                <w:ilvl w:val="0"/>
                <w:numId w:val="4"/>
              </w:numPr>
              <w:suppressLineNumbers w:val="0"/>
              <w:overflowPunct/>
              <w:autoSpaceDE/>
              <w:autoSpaceDN/>
              <w:adjustRightInd/>
              <w:spacing w:before="0" w:beforeAutospacing="0" w:after="160" w:afterAutospacing="0" w:line="259" w:lineRule="auto"/>
              <w:ind w:right="0"/>
              <w:jc w:val="both"/>
              <w:rPr>
                <w:rFonts w:hint="default"/>
              </w:rPr>
            </w:pPr>
            <w:r>
              <w:rPr>
                <w:rFonts w:hint="default"/>
              </w:rPr>
              <w:t>Co-located OOBB requirement.</w:t>
            </w:r>
          </w:p>
          <w:p w14:paraId="1E2B75E7">
            <w:pPr>
              <w:keepNext w:val="0"/>
              <w:keepLines w:val="0"/>
              <w:suppressLineNumbers w:val="0"/>
              <w:spacing w:before="0" w:beforeAutospacing="0" w:afterAutospacing="0"/>
              <w:ind w:left="0" w:right="0"/>
              <w:rPr>
                <w:rFonts w:hint="default"/>
              </w:rPr>
            </w:pPr>
            <w:r>
              <w:rPr>
                <w:rFonts w:hint="default"/>
              </w:rPr>
              <w:t>No conclusion on exclusion of any of the above requirements from the beam steering coupling analysis.</w:t>
            </w:r>
          </w:p>
          <w:p w14:paraId="2067C1F3">
            <w:pPr>
              <w:keepNext w:val="0"/>
              <w:keepLines w:val="0"/>
              <w:suppressLineNumbers w:val="0"/>
              <w:spacing w:before="0" w:beforeAutospacing="0" w:afterAutospacing="0"/>
              <w:ind w:left="0" w:right="0"/>
              <w:rPr>
                <w:rFonts w:hint="default"/>
              </w:rPr>
            </w:pPr>
          </w:p>
          <w:p w14:paraId="79126307">
            <w:pPr>
              <w:pStyle w:val="3"/>
              <w:suppressLineNumbers w:val="0"/>
              <w:spacing w:beforeAutospacing="0" w:afterAutospacing="0"/>
              <w:ind w:right="0"/>
              <w:rPr>
                <w:rFonts w:hint="default"/>
              </w:rPr>
            </w:pPr>
            <w:r>
              <w:rPr>
                <w:rFonts w:hint="default"/>
              </w:rPr>
              <w:t>Sub-topic 1-3: Assumptions for the beam steering scenario analyses</w:t>
            </w:r>
          </w:p>
          <w:p w14:paraId="2AFF108A">
            <w:pPr>
              <w:keepNext w:val="0"/>
              <w:keepLines w:val="0"/>
              <w:suppressLineNumbers w:val="0"/>
              <w:overflowPunct/>
              <w:autoSpaceDE/>
              <w:autoSpaceDN/>
              <w:adjustRightInd/>
              <w:spacing w:before="0" w:beforeAutospacing="0" w:after="120" w:afterAutospacing="0"/>
              <w:ind w:left="0" w:right="0"/>
              <w:textAlignment w:val="auto"/>
              <w:rPr>
                <w:rFonts w:hint="default"/>
              </w:rPr>
            </w:pPr>
            <w:r>
              <w:rPr>
                <w:rFonts w:hint="default"/>
                <w:b/>
                <w:lang w:eastAsia="zh-CN"/>
              </w:rPr>
              <w:t>Way forward</w:t>
            </w:r>
            <w:r>
              <w:rPr>
                <w:rFonts w:hint="default"/>
                <w:lang w:eastAsia="zh-CN"/>
              </w:rPr>
              <w:t>:</w:t>
            </w:r>
            <w:r>
              <w:rPr>
                <w:rFonts w:hint="default"/>
              </w:rPr>
              <w:t xml:space="preserve"> To improve simulation results alignment, the following assumptions are taken for the beam steering consideration (track changes showing delta compared to RAN4#114 agreements): </w:t>
            </w:r>
          </w:p>
          <w:p w14:paraId="5ED82033">
            <w:pPr>
              <w:keepNext w:val="0"/>
              <w:keepLines w:val="0"/>
              <w:suppressLineNumbers w:val="0"/>
              <w:spacing w:before="0" w:beforeAutospacing="0" w:after="120" w:afterAutospacing="0"/>
              <w:ind w:left="0" w:right="0"/>
              <w:rPr>
                <w:rFonts w:hint="default"/>
                <w:color w:val="000000" w:themeColor="text1"/>
                <w:szCs w:val="24"/>
                <w:lang w:eastAsia="zh-CN"/>
                <w14:textFill>
                  <w14:solidFill>
                    <w14:schemeClr w14:val="tx1"/>
                  </w14:solidFill>
                </w14:textFill>
              </w:rPr>
            </w:pPr>
            <w:r>
              <w:rPr>
                <w:rFonts w:hint="default"/>
              </w:rPr>
              <w:t>D</w:t>
            </w:r>
            <w:r>
              <w:rPr>
                <w:rFonts w:hint="default"/>
                <w:color w:val="000000" w:themeColor="text1"/>
                <w:szCs w:val="24"/>
                <w:lang w:eastAsia="zh-CN"/>
                <w14:textFill>
                  <w14:solidFill>
                    <w14:schemeClr w14:val="tx1"/>
                  </w14:solidFill>
                </w14:textFill>
              </w:rPr>
              <w:t xml:space="preserve">ata collection to prioritize the following scenarios: </w:t>
            </w:r>
          </w:p>
          <w:p w14:paraId="299CBB26">
            <w:pPr>
              <w:pStyle w:val="36"/>
              <w:keepNext w:val="0"/>
              <w:keepLines w:val="0"/>
              <w:numPr>
                <w:ilvl w:val="0"/>
                <w:numId w:val="5"/>
              </w:numPr>
              <w:suppressLineNumbers w:val="0"/>
              <w:spacing w:before="0" w:beforeAutospacing="0" w:after="120" w:afterAutospacing="0"/>
              <w:ind w:right="0" w:firstLineChars="0"/>
              <w:rPr>
                <w:rFonts w:hint="default"/>
              </w:rPr>
            </w:pPr>
            <w:r>
              <w:rPr>
                <w:rFonts w:hint="default"/>
              </w:rPr>
              <w:t>Beam steering range +/- 60 degrees,</w:t>
            </w:r>
          </w:p>
          <w:p w14:paraId="1246908D">
            <w:pPr>
              <w:pStyle w:val="36"/>
              <w:keepNext w:val="0"/>
              <w:keepLines w:val="0"/>
              <w:numPr>
                <w:ilvl w:val="0"/>
                <w:numId w:val="5"/>
              </w:numPr>
              <w:suppressLineNumbers w:val="0"/>
              <w:spacing w:before="0" w:beforeAutospacing="0" w:after="120" w:afterAutospacing="0"/>
              <w:ind w:right="0" w:firstLineChars="0"/>
              <w:rPr>
                <w:rFonts w:hint="default"/>
                <w:vertAlign w:val="baseline"/>
                <w:lang w:val="en-US" w:eastAsia="zh-CN"/>
              </w:rPr>
            </w:pPr>
            <w:r>
              <w:rPr>
                <w:rFonts w:hint="default"/>
              </w:rPr>
              <w:t>Reuse CLTA arrangements, e.g., same plane orientation; 10 cm offset enclosure to enclosure, etc.</w:t>
            </w:r>
          </w:p>
        </w:tc>
      </w:tr>
    </w:tbl>
    <w:p w14:paraId="557CE391">
      <w:pPr>
        <w:pStyle w:val="57"/>
        <w:tabs>
          <w:tab w:val="left" w:pos="567"/>
          <w:tab w:val="clear" w:pos="1985"/>
        </w:tabs>
        <w:adjustRightInd w:val="0"/>
        <w:ind w:left="510" w:hanging="510"/>
        <w:rPr>
          <w:rFonts w:eastAsia="Times New Roman"/>
        </w:rPr>
      </w:pPr>
      <w:bookmarkStart w:id="1" w:name="OLE_LINK10"/>
      <w:bookmarkStart w:id="2" w:name="OLE_LINK13"/>
      <w:bookmarkStart w:id="3" w:name="OLE_LINK14"/>
      <w:bookmarkStart w:id="4" w:name="OLE_LINK20"/>
      <w:r>
        <w:rPr>
          <w:rFonts w:hint="eastAsia"/>
          <w:lang w:val="en-US" w:eastAsia="zh-CN"/>
        </w:rPr>
        <w:t>Discussion</w:t>
      </w:r>
      <w:r>
        <w:rPr>
          <w:rFonts w:hint="eastAsia" w:eastAsia="Times New Roman"/>
        </w:rPr>
        <w:t xml:space="preserve"> </w:t>
      </w:r>
    </w:p>
    <w:p w14:paraId="0BA25877">
      <w:pPr>
        <w:keepNext w:val="0"/>
        <w:keepLines w:val="0"/>
        <w:widowControl/>
        <w:suppressLineNumbers w:val="0"/>
        <w:jc w:val="left"/>
        <w:rPr>
          <w:rFonts w:hint="eastAsia"/>
          <w:lang w:val="en-US" w:eastAsia="zh-CN"/>
        </w:rPr>
      </w:pPr>
      <w:r>
        <w:rPr>
          <w:rFonts w:hint="eastAsia"/>
          <w:lang w:val="en-US" w:eastAsia="zh-CN"/>
        </w:rPr>
        <w:t xml:space="preserve">As we discussed in the last RAN4 meeting, the following issues could be further discussed to identify the necessity for co-location reference antenna improvement. </w:t>
      </w:r>
    </w:p>
    <w:p w14:paraId="18587F2A">
      <w:pPr>
        <w:pStyle w:val="3"/>
        <w:numPr>
          <w:ilvl w:val="1"/>
          <w:numId w:val="1"/>
        </w:numPr>
        <w:ind w:left="720" w:leftChars="0" w:hanging="720" w:firstLineChars="0"/>
        <w:rPr>
          <w:b w:val="0"/>
          <w:bCs w:val="0"/>
          <w:sz w:val="28"/>
          <w:szCs w:val="28"/>
        </w:rPr>
      </w:pPr>
      <w:bookmarkStart w:id="5" w:name="OLE_LINK78"/>
      <w:bookmarkStart w:id="6" w:name="OLE_LINK77"/>
      <w:bookmarkStart w:id="7" w:name="_Hlk161047436"/>
      <w:r>
        <w:rPr>
          <w:rFonts w:hint="eastAsia"/>
          <w:b w:val="0"/>
          <w:bCs w:val="0"/>
          <w:sz w:val="28"/>
          <w:szCs w:val="28"/>
          <w:lang w:val="en-US" w:eastAsia="zh-CN"/>
        </w:rPr>
        <w:t>.Coupling loss between two AAS BS in FR1 high bands</w:t>
      </w:r>
      <w:r>
        <w:rPr>
          <w:b w:val="0"/>
          <w:bCs w:val="0"/>
          <w:sz w:val="28"/>
          <w:szCs w:val="28"/>
        </w:rPr>
        <w:t xml:space="preserve"> </w:t>
      </w:r>
      <w:bookmarkEnd w:id="5"/>
      <w:bookmarkEnd w:id="6"/>
      <w:bookmarkEnd w:id="7"/>
    </w:p>
    <w:p w14:paraId="2CA32E6A">
      <w:pPr>
        <w:tabs>
          <w:tab w:val="left" w:pos="2127"/>
        </w:tabs>
        <w:spacing w:after="0"/>
        <w:rPr>
          <w:rFonts w:hint="eastAsia"/>
          <w:lang w:val="en-US" w:eastAsia="zh-CN"/>
        </w:rPr>
      </w:pPr>
      <w:r>
        <w:rPr>
          <w:rFonts w:hint="eastAsia"/>
          <w:lang w:val="en-US" w:eastAsia="zh-CN"/>
        </w:rPr>
        <w:t>First of all, NR BS coexisting with non-AAS BS in FR1 high bands are not very common. Instead, two AAS BS coexisting with each other are more ubiquitous which are one candidate issue captured in the agreed WF [1]. Based on the above consideration from the practical deployment perspective, we conducted some coupling loss measurement shown as following:</w:t>
      </w:r>
    </w:p>
    <w:p w14:paraId="59FEC07E">
      <w:pPr>
        <w:numPr>
          <w:ilvl w:val="0"/>
          <w:numId w:val="6"/>
        </w:numPr>
        <w:tabs>
          <w:tab w:val="left" w:pos="2127"/>
        </w:tabs>
        <w:spacing w:after="0"/>
        <w:rPr>
          <w:rFonts w:hint="default"/>
          <w:lang w:val="en-US" w:eastAsia="zh-CN"/>
        </w:rPr>
      </w:pPr>
      <w:r>
        <w:rPr>
          <w:rFonts w:hint="eastAsia"/>
          <w:lang w:val="en-US" w:eastAsia="zh-CN"/>
        </w:rPr>
        <w:t xml:space="preserve"> (left figure) Two AAS BS are separated in the vertical domain (10cm separation as worst assumption).</w:t>
      </w:r>
    </w:p>
    <w:p w14:paraId="172CC7EB">
      <w:pPr>
        <w:numPr>
          <w:ilvl w:val="0"/>
          <w:numId w:val="6"/>
        </w:numPr>
        <w:tabs>
          <w:tab w:val="left" w:pos="2127"/>
        </w:tabs>
        <w:spacing w:after="0"/>
        <w:rPr>
          <w:rFonts w:hint="default"/>
          <w:lang w:val="en-US" w:eastAsia="zh-CN"/>
        </w:rPr>
      </w:pPr>
      <w:r>
        <w:rPr>
          <w:rFonts w:hint="eastAsia"/>
          <w:lang w:val="en-US" w:eastAsia="zh-CN"/>
        </w:rPr>
        <w:t xml:space="preserve"> (Right figure) Two AAS BS are separated in the horizontal domain (10cm separation as worst assumption).</w:t>
      </w:r>
    </w:p>
    <w:p w14:paraId="4E1C1B01">
      <w:pPr>
        <w:tabs>
          <w:tab w:val="left" w:pos="2127"/>
        </w:tabs>
        <w:spacing w:after="0"/>
        <w:jc w:val="center"/>
      </w:pPr>
      <w:r>
        <w:drawing>
          <wp:inline distT="0" distB="0" distL="114300" distR="114300">
            <wp:extent cx="2898775" cy="1993265"/>
            <wp:effectExtent l="0" t="0" r="15875" b="698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2898775" cy="1993265"/>
                    </a:xfrm>
                    <a:prstGeom prst="rect">
                      <a:avLst/>
                    </a:prstGeom>
                    <a:noFill/>
                    <a:ln>
                      <a:noFill/>
                    </a:ln>
                  </pic:spPr>
                </pic:pic>
              </a:graphicData>
            </a:graphic>
          </wp:inline>
        </w:drawing>
      </w:r>
      <w:r>
        <w:drawing>
          <wp:inline distT="0" distB="0" distL="114300" distR="114300">
            <wp:extent cx="2863850" cy="1982470"/>
            <wp:effectExtent l="0" t="0" r="12700" b="1778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8"/>
                    <a:stretch>
                      <a:fillRect/>
                    </a:stretch>
                  </pic:blipFill>
                  <pic:spPr>
                    <a:xfrm>
                      <a:off x="0" y="0"/>
                      <a:ext cx="2863850" cy="1982470"/>
                    </a:xfrm>
                    <a:prstGeom prst="rect">
                      <a:avLst/>
                    </a:prstGeom>
                    <a:noFill/>
                    <a:ln>
                      <a:noFill/>
                    </a:ln>
                  </pic:spPr>
                </pic:pic>
              </a:graphicData>
            </a:graphic>
          </wp:inline>
        </w:drawing>
      </w:r>
    </w:p>
    <w:p w14:paraId="7745C6AB">
      <w:pPr>
        <w:tabs>
          <w:tab w:val="left" w:pos="2127"/>
        </w:tabs>
        <w:spacing w:after="0"/>
        <w:jc w:val="center"/>
        <w:rPr>
          <w:rFonts w:hint="eastAsia"/>
          <w:lang w:val="en-US" w:eastAsia="zh-CN"/>
        </w:rPr>
      </w:pPr>
      <w:r>
        <w:rPr>
          <w:rFonts w:hint="eastAsia"/>
          <w:lang w:val="en-US" w:eastAsia="zh-CN"/>
        </w:rPr>
        <w:t>Figure 2.1-1. coupling loss measurement for FR1 high bands with separation distance as 10cm from edge to edge</w:t>
      </w:r>
    </w:p>
    <w:p w14:paraId="7938E8E9">
      <w:pPr>
        <w:tabs>
          <w:tab w:val="left" w:pos="2127"/>
        </w:tabs>
        <w:spacing w:after="0"/>
        <w:jc w:val="left"/>
        <w:rPr>
          <w:rFonts w:hint="default"/>
          <w:highlight w:val="none"/>
          <w:lang w:val="en-US" w:eastAsia="zh-CN"/>
        </w:rPr>
      </w:pPr>
      <w:r>
        <w:rPr>
          <w:rFonts w:hint="eastAsia"/>
          <w:highlight w:val="none"/>
          <w:lang w:val="en-US" w:eastAsia="zh-CN"/>
        </w:rPr>
        <w:t xml:space="preserve">NOTE: coupling loss measurement with CW source signal is done in the OTA chamber without considering the different beam steering steering. Beam of two AAS BSs are steering towards the boresight direction. </w:t>
      </w:r>
    </w:p>
    <w:p w14:paraId="3D963611">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829050" cy="4248150"/>
            <wp:effectExtent l="0" t="0" r="0" b="0"/>
            <wp:docPr id="8"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IMG_256"/>
                    <pic:cNvPicPr>
                      <a:picLocks noChangeAspect="1"/>
                    </pic:cNvPicPr>
                  </pic:nvPicPr>
                  <pic:blipFill>
                    <a:blip r:embed="rId9"/>
                    <a:stretch>
                      <a:fillRect/>
                    </a:stretch>
                  </pic:blipFill>
                  <pic:spPr>
                    <a:xfrm>
                      <a:off x="0" y="0"/>
                      <a:ext cx="3829050" cy="4248150"/>
                    </a:xfrm>
                    <a:prstGeom prst="rect">
                      <a:avLst/>
                    </a:prstGeom>
                    <a:noFill/>
                    <a:ln w="9525">
                      <a:noFill/>
                    </a:ln>
                  </pic:spPr>
                </pic:pic>
              </a:graphicData>
            </a:graphic>
          </wp:inline>
        </w:drawing>
      </w:r>
    </w:p>
    <w:p w14:paraId="59202BC6">
      <w:pPr>
        <w:tabs>
          <w:tab w:val="left" w:pos="2127"/>
        </w:tabs>
        <w:spacing w:after="0"/>
        <w:jc w:val="center"/>
        <w:rPr>
          <w:rFonts w:hint="default"/>
          <w:lang w:val="en-US"/>
        </w:rPr>
      </w:pPr>
      <w:r>
        <w:rPr>
          <w:rFonts w:hint="eastAsia"/>
          <w:lang w:val="en-US" w:eastAsia="zh-CN"/>
        </w:rPr>
        <w:t>Figure 2.1-2a. antenna ports for coupling loss measurement with vertical separation [expected worst coupling loss]</w:t>
      </w:r>
    </w:p>
    <w:p w14:paraId="6DB604B4">
      <w:pPr>
        <w:tabs>
          <w:tab w:val="left" w:pos="2127"/>
        </w:tabs>
        <w:spacing w:after="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91000" cy="3162300"/>
            <wp:effectExtent l="0" t="0" r="0" b="0"/>
            <wp:docPr id="7"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IMG_256"/>
                    <pic:cNvPicPr>
                      <a:picLocks noChangeAspect="1"/>
                    </pic:cNvPicPr>
                  </pic:nvPicPr>
                  <pic:blipFill>
                    <a:blip r:embed="rId10"/>
                    <a:stretch>
                      <a:fillRect/>
                    </a:stretch>
                  </pic:blipFill>
                  <pic:spPr>
                    <a:xfrm>
                      <a:off x="0" y="0"/>
                      <a:ext cx="4191000" cy="3162300"/>
                    </a:xfrm>
                    <a:prstGeom prst="rect">
                      <a:avLst/>
                    </a:prstGeom>
                    <a:noFill/>
                    <a:ln w="9525">
                      <a:noFill/>
                    </a:ln>
                  </pic:spPr>
                </pic:pic>
              </a:graphicData>
            </a:graphic>
          </wp:inline>
        </w:drawing>
      </w:r>
    </w:p>
    <w:p w14:paraId="7006196E">
      <w:pPr>
        <w:tabs>
          <w:tab w:val="left" w:pos="2127"/>
        </w:tabs>
        <w:spacing w:after="0"/>
        <w:jc w:val="center"/>
        <w:rPr>
          <w:rFonts w:hint="eastAsia"/>
          <w:lang w:val="en-US" w:eastAsia="zh-CN"/>
        </w:rPr>
      </w:pPr>
      <w:r>
        <w:rPr>
          <w:rFonts w:hint="eastAsia"/>
          <w:lang w:val="en-US" w:eastAsia="zh-CN"/>
        </w:rPr>
        <w:t>Figure 2.1-2b. antenna ports for coupling loss measurement with horizontal separation [expected worst coupling loss]</w:t>
      </w:r>
    </w:p>
    <w:p w14:paraId="76AF2E7D">
      <w:pPr>
        <w:tabs>
          <w:tab w:val="left" w:pos="2127"/>
        </w:tabs>
        <w:spacing w:after="0"/>
        <w:jc w:val="left"/>
        <w:rPr>
          <w:rFonts w:hint="eastAsia"/>
          <w:lang w:val="en-US" w:eastAsia="zh-CN"/>
        </w:rPr>
      </w:pPr>
      <w:r>
        <w:rPr>
          <w:rFonts w:hint="eastAsia"/>
          <w:lang w:val="en-US" w:eastAsia="zh-CN"/>
        </w:rPr>
        <w:t>According to the above testing conditions/assumptions, some initial measurement results for FR1 high bands are provided in the following Table 2.1-1. As shown in the following table, if two NR AAS BS are placed with vertical separation which is quite typical for the mast installation, then the coupling loss between sub-array would be larger than 50dB under the vertical isolation (closet antenna elements as shown in Figure 2.1-2a). However if two NR BS are placed with horizontal separation which is typical for roof based installation, the coupling loss between sub-array is still larger than 30dBc (closet antenna elements as shown in Figure 2.1-2b). It also depends on the BS</w:t>
      </w:r>
      <w:r>
        <w:rPr>
          <w:rFonts w:hint="default"/>
          <w:lang w:val="en-US" w:eastAsia="zh-CN"/>
        </w:rPr>
        <w:t>’</w:t>
      </w:r>
      <w:r>
        <w:rPr>
          <w:rFonts w:hint="eastAsia"/>
          <w:lang w:val="en-US" w:eastAsia="zh-CN"/>
        </w:rPr>
        <w:t>s implementation, for different BS RF architecture, coupling loss among different antenna ports are varying from 31dB to 46dBc.</w:t>
      </w:r>
    </w:p>
    <w:p w14:paraId="1AC2575B">
      <w:pPr>
        <w:tabs>
          <w:tab w:val="left" w:pos="2127"/>
        </w:tabs>
        <w:spacing w:after="0"/>
        <w:jc w:val="center"/>
      </w:pPr>
      <w:r>
        <w:rPr>
          <w:rFonts w:hint="eastAsia"/>
          <w:lang w:val="en-US" w:eastAsia="zh-CN"/>
        </w:rPr>
        <w:t>Table 2.1-1. summary of measured coupling loss different frequency ranges for FR1 WA BS</w:t>
      </w:r>
    </w:p>
    <w:tbl>
      <w:tblPr>
        <w:tblStyle w:val="25"/>
        <w:tblW w:w="0" w:type="auto"/>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3019"/>
        <w:gridCol w:w="1054"/>
        <w:gridCol w:w="1054"/>
        <w:gridCol w:w="1054"/>
        <w:gridCol w:w="1054"/>
        <w:gridCol w:w="1054"/>
      </w:tblGrid>
      <w:tr w14:paraId="251E1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6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194DBF33">
            <w:pPr>
              <w:pStyle w:val="21"/>
              <w:keepNext w:val="0"/>
              <w:keepLines w:val="0"/>
              <w:widowControl/>
              <w:suppressLineNumbers w:val="0"/>
              <w:ind w:left="0" w:right="0"/>
              <w:jc w:val="center"/>
              <w:rPr>
                <w:rFonts w:hint="default" w:eastAsia="宋体"/>
                <w:lang w:val="en-US" w:eastAsia="zh-CN"/>
              </w:rPr>
            </w:pPr>
            <w:r>
              <w:rPr>
                <w:rFonts w:hint="eastAsia" w:ascii="Times New Roman" w:hAnsi="Times New Roman" w:cs="Times New Roman"/>
                <w:b/>
                <w:bCs/>
                <w:color w:val="FFFFFF"/>
                <w:sz w:val="18"/>
                <w:szCs w:val="18"/>
                <w:lang w:val="en-US" w:eastAsia="zh-CN"/>
              </w:rPr>
              <w:t>Antenna type</w:t>
            </w:r>
          </w:p>
        </w:tc>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276520BC">
            <w:pPr>
              <w:pStyle w:val="21"/>
              <w:keepNext w:val="0"/>
              <w:keepLines w:val="0"/>
              <w:widowControl/>
              <w:suppressLineNumbers w:val="0"/>
              <w:ind w:left="0" w:right="0"/>
              <w:jc w:val="center"/>
              <w:rPr>
                <w:rFonts w:hint="default" w:ascii="Times New Roman" w:hAnsi="Times New Roman" w:eastAsia="宋体" w:cs="Times New Roman"/>
                <w:sz w:val="18"/>
                <w:szCs w:val="18"/>
                <w:lang w:val="en-US" w:eastAsia="zh-CN"/>
              </w:rPr>
            </w:pPr>
            <w:r>
              <w:rPr>
                <w:rFonts w:hint="default" w:ascii="Times New Roman" w:hAnsi="Times New Roman" w:cs="Times New Roman"/>
                <w:b/>
                <w:bCs/>
                <w:color w:val="FFFFFF"/>
                <w:sz w:val="18"/>
                <w:szCs w:val="18"/>
              </w:rPr>
              <w:t>2.6G-</w:t>
            </w:r>
            <w:r>
              <w:rPr>
                <w:rFonts w:hint="eastAsia" w:ascii="Times New Roman" w:hAnsi="Times New Roman" w:cs="Times New Roman"/>
                <w:b/>
                <w:bCs/>
                <w:color w:val="FFFFFF"/>
                <w:sz w:val="18"/>
                <w:szCs w:val="18"/>
                <w:lang w:val="en-US" w:eastAsia="zh-CN"/>
              </w:rPr>
              <w:t>BS1</w:t>
            </w:r>
          </w:p>
        </w:tc>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67F5C06E">
            <w:pPr>
              <w:pStyle w:val="21"/>
              <w:keepNext w:val="0"/>
              <w:keepLines w:val="0"/>
              <w:widowControl/>
              <w:suppressLineNumbers w:val="0"/>
              <w:ind w:left="0" w:right="0"/>
              <w:jc w:val="center"/>
              <w:rPr>
                <w:rFonts w:hint="default" w:ascii="Times New Roman" w:hAnsi="Times New Roman" w:eastAsia="宋体" w:cs="Times New Roman"/>
                <w:sz w:val="18"/>
                <w:szCs w:val="18"/>
                <w:lang w:val="en-US" w:eastAsia="zh-CN"/>
              </w:rPr>
            </w:pPr>
            <w:r>
              <w:rPr>
                <w:rFonts w:hint="default" w:ascii="Times New Roman" w:hAnsi="Times New Roman" w:cs="Times New Roman"/>
                <w:b/>
                <w:bCs/>
                <w:color w:val="FFFFFF"/>
                <w:sz w:val="18"/>
                <w:szCs w:val="18"/>
              </w:rPr>
              <w:t>2.6G</w:t>
            </w:r>
            <w:r>
              <w:rPr>
                <w:rFonts w:hint="eastAsia" w:ascii="Times New Roman" w:hAnsi="Times New Roman" w:cs="Times New Roman"/>
                <w:b/>
                <w:bCs/>
                <w:color w:val="FFFFFF"/>
                <w:sz w:val="18"/>
                <w:szCs w:val="18"/>
                <w:lang w:val="en-US" w:eastAsia="zh-CN"/>
              </w:rPr>
              <w:t>-BS2</w:t>
            </w:r>
          </w:p>
        </w:tc>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6E369A2A">
            <w:pPr>
              <w:pStyle w:val="21"/>
              <w:keepNext w:val="0"/>
              <w:keepLines w:val="0"/>
              <w:widowControl/>
              <w:suppressLineNumbers w:val="0"/>
              <w:ind w:left="0" w:right="0"/>
              <w:jc w:val="center"/>
              <w:rPr>
                <w:rFonts w:hint="default" w:ascii="Times New Roman" w:hAnsi="Times New Roman" w:cs="Times New Roman"/>
                <w:sz w:val="18"/>
                <w:szCs w:val="18"/>
              </w:rPr>
            </w:pPr>
            <w:r>
              <w:rPr>
                <w:rFonts w:hint="default" w:ascii="Times New Roman" w:hAnsi="Times New Roman" w:cs="Times New Roman"/>
                <w:b/>
                <w:bCs/>
                <w:color w:val="FFFFFF"/>
                <w:sz w:val="18"/>
                <w:szCs w:val="18"/>
              </w:rPr>
              <w:t>3.5G-</w:t>
            </w:r>
            <w:r>
              <w:rPr>
                <w:rFonts w:hint="eastAsia" w:ascii="Times New Roman" w:hAnsi="Times New Roman" w:cs="Times New Roman"/>
                <w:b/>
                <w:bCs/>
                <w:color w:val="FFFFFF"/>
                <w:sz w:val="18"/>
                <w:szCs w:val="18"/>
                <w:lang w:val="en-US" w:eastAsia="zh-CN"/>
              </w:rPr>
              <w:t>BS1</w:t>
            </w:r>
          </w:p>
        </w:tc>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6971A667">
            <w:pPr>
              <w:pStyle w:val="21"/>
              <w:keepNext w:val="0"/>
              <w:keepLines w:val="0"/>
              <w:widowControl/>
              <w:suppressLineNumbers w:val="0"/>
              <w:ind w:left="0" w:right="0"/>
              <w:jc w:val="center"/>
              <w:rPr>
                <w:rFonts w:hint="default" w:ascii="Times New Roman" w:hAnsi="Times New Roman" w:cs="Times New Roman"/>
                <w:sz w:val="18"/>
                <w:szCs w:val="18"/>
              </w:rPr>
            </w:pPr>
            <w:r>
              <w:rPr>
                <w:rFonts w:hint="default" w:ascii="Times New Roman" w:hAnsi="Times New Roman" w:cs="Times New Roman"/>
                <w:b/>
                <w:bCs/>
                <w:color w:val="FFFFFF"/>
                <w:sz w:val="18"/>
                <w:szCs w:val="18"/>
              </w:rPr>
              <w:t>3.5G-</w:t>
            </w:r>
            <w:r>
              <w:rPr>
                <w:rFonts w:hint="eastAsia" w:ascii="Times New Roman" w:hAnsi="Times New Roman" w:cs="Times New Roman"/>
                <w:b/>
                <w:bCs/>
                <w:color w:val="FFFFFF"/>
                <w:sz w:val="18"/>
                <w:szCs w:val="18"/>
                <w:lang w:val="en-US" w:eastAsia="zh-CN"/>
              </w:rPr>
              <w:t>BS2</w:t>
            </w:r>
          </w:p>
        </w:tc>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01F8864B">
            <w:pPr>
              <w:pStyle w:val="21"/>
              <w:keepNext w:val="0"/>
              <w:keepLines w:val="0"/>
              <w:widowControl/>
              <w:suppressLineNumbers w:val="0"/>
              <w:ind w:left="0" w:right="0"/>
              <w:jc w:val="center"/>
              <w:rPr>
                <w:rFonts w:hint="default" w:ascii="Times New Roman" w:hAnsi="Times New Roman" w:eastAsia="宋体" w:cs="Times New Roman"/>
                <w:sz w:val="18"/>
                <w:szCs w:val="18"/>
                <w:lang w:val="en-US" w:eastAsia="zh-CN"/>
              </w:rPr>
            </w:pPr>
            <w:r>
              <w:rPr>
                <w:rFonts w:hint="default" w:ascii="Times New Roman" w:hAnsi="Times New Roman" w:cs="Times New Roman"/>
                <w:b/>
                <w:bCs/>
                <w:color w:val="FFFFFF"/>
                <w:sz w:val="18"/>
                <w:szCs w:val="18"/>
              </w:rPr>
              <w:t>4.9G-</w:t>
            </w:r>
            <w:r>
              <w:rPr>
                <w:rFonts w:hint="eastAsia" w:ascii="Times New Roman" w:hAnsi="Times New Roman" w:cs="Times New Roman"/>
                <w:b/>
                <w:bCs/>
                <w:color w:val="FFFFFF"/>
                <w:sz w:val="18"/>
                <w:szCs w:val="18"/>
                <w:lang w:val="en-US" w:eastAsia="zh-CN"/>
              </w:rPr>
              <w:t>BS1</w:t>
            </w:r>
          </w:p>
        </w:tc>
      </w:tr>
      <w:tr w14:paraId="7C5A7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0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3C2482CD">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Isolation in vertical domain</w:t>
            </w:r>
            <w:r>
              <w:rPr>
                <w:rFonts w:hint="default" w:ascii="Times New Roman" w:hAnsi="Times New Roman" w:cs="Times New Roman"/>
                <w:color w:val="000000"/>
                <w:sz w:val="21"/>
                <w:szCs w:val="21"/>
              </w:rPr>
              <w:t>(dB)</w:t>
            </w:r>
          </w:p>
        </w:tc>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754CA9B0">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&lt;-54</w:t>
            </w:r>
          </w:p>
        </w:tc>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1AA2AEE6">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&lt;-57</w:t>
            </w:r>
          </w:p>
        </w:tc>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70B4623F">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&lt;-52</w:t>
            </w:r>
          </w:p>
        </w:tc>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3629E8CE">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&lt;-53</w:t>
            </w:r>
          </w:p>
        </w:tc>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3B2ADAE3">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&lt;-56</w:t>
            </w:r>
          </w:p>
        </w:tc>
      </w:tr>
      <w:tr w14:paraId="23EE3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0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1D183118">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Isolation in horizontal domain</w:t>
            </w:r>
          </w:p>
        </w:tc>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0236E5AC">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&lt;-31</w:t>
            </w:r>
          </w:p>
        </w:tc>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38C28D1C">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&lt;-40</w:t>
            </w:r>
          </w:p>
        </w:tc>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15801F78">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&lt;-34</w:t>
            </w:r>
          </w:p>
        </w:tc>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4699D8D1">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&lt;-35</w:t>
            </w:r>
          </w:p>
        </w:tc>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2538472E">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&lt;-46</w:t>
            </w:r>
          </w:p>
        </w:tc>
      </w:tr>
    </w:tbl>
    <w:p w14:paraId="0722C097">
      <w:pPr>
        <w:tabs>
          <w:tab w:val="left" w:pos="2127"/>
        </w:tabs>
        <w:spacing w:after="0"/>
      </w:pPr>
    </w:p>
    <w:p w14:paraId="24B4A72D">
      <w:pPr>
        <w:tabs>
          <w:tab w:val="left" w:pos="2127"/>
        </w:tabs>
        <w:spacing w:after="0"/>
        <w:rPr>
          <w:rFonts w:hint="eastAsia"/>
          <w:lang w:val="en-US" w:eastAsia="zh-CN"/>
        </w:rPr>
      </w:pPr>
      <w:r>
        <w:rPr>
          <w:rFonts w:hint="eastAsia"/>
          <w:b/>
          <w:bCs/>
          <w:lang w:val="en-US" w:eastAsia="zh-CN"/>
        </w:rPr>
        <w:t>Observation 1</w:t>
      </w:r>
      <w:r>
        <w:rPr>
          <w:rFonts w:hint="eastAsia"/>
          <w:lang w:val="en-US" w:eastAsia="zh-CN"/>
        </w:rPr>
        <w:t>:if two NR AAS BS are placed with vertical separation which is quite typical for the mast installation, then the coupling loss between sub-array would be larger than 50dB with10cm separation distance.</w:t>
      </w:r>
    </w:p>
    <w:p w14:paraId="2DA8A3D1">
      <w:pPr>
        <w:tabs>
          <w:tab w:val="left" w:pos="2127"/>
        </w:tabs>
        <w:spacing w:after="0"/>
        <w:rPr>
          <w:rFonts w:hint="eastAsia"/>
          <w:lang w:val="en-US" w:eastAsia="zh-CN"/>
        </w:rPr>
      </w:pPr>
      <w:r>
        <w:rPr>
          <w:rFonts w:hint="eastAsia"/>
          <w:b/>
          <w:bCs/>
          <w:lang w:val="en-US" w:eastAsia="zh-CN"/>
        </w:rPr>
        <w:t>Observation 2</w:t>
      </w:r>
      <w:r>
        <w:rPr>
          <w:rFonts w:hint="eastAsia"/>
          <w:lang w:val="en-US" w:eastAsia="zh-CN"/>
        </w:rPr>
        <w:t>: if two NR BS are placed with horizontal separation which is typical for roof based installation, the coupling loss is still larger than 30dBc and the coupling loss among different antenna ports are varying from 31dB to 46dBc.</w:t>
      </w:r>
    </w:p>
    <w:p w14:paraId="2ED33C19">
      <w:pPr>
        <w:tabs>
          <w:tab w:val="left" w:pos="2127"/>
        </w:tabs>
        <w:spacing w:after="0"/>
        <w:rPr>
          <w:rFonts w:hint="eastAsia"/>
          <w:highlight w:val="none"/>
          <w:lang w:val="en-US" w:eastAsia="zh-CN"/>
        </w:rPr>
      </w:pPr>
      <w:r>
        <w:rPr>
          <w:rFonts w:hint="eastAsia"/>
          <w:highlight w:val="none"/>
          <w:lang w:val="en-US" w:eastAsia="zh-CN"/>
        </w:rPr>
        <w:t>In the previous RAN4 meeting, there were some discussions on the impacts of beam steering on coupling loss, from our understanding, it</w:t>
      </w:r>
      <w:r>
        <w:rPr>
          <w:rFonts w:hint="default"/>
          <w:highlight w:val="none"/>
          <w:lang w:val="en-US" w:eastAsia="zh-CN"/>
        </w:rPr>
        <w:t>’</w:t>
      </w:r>
      <w:r>
        <w:rPr>
          <w:rFonts w:hint="eastAsia"/>
          <w:highlight w:val="none"/>
          <w:lang w:val="en-US" w:eastAsia="zh-CN"/>
        </w:rPr>
        <w:t>s true that the beam steering from antenna array of aggressive BS towards sub-array of victim BS and from antenna array of aggressive BS towards antenna array of victim BS would have the impacts. In the following table, we provide some initial measurement results for 4.9GHz vs 4.9GHz BS and 4.9GHz vs 3.5GHz BS.</w:t>
      </w:r>
    </w:p>
    <w:p w14:paraId="5075DB22">
      <w:pPr>
        <w:tabs>
          <w:tab w:val="left" w:pos="2127"/>
        </w:tabs>
        <w:spacing w:after="0"/>
        <w:rPr>
          <w:rFonts w:hint="default"/>
          <w:highlight w:val="none"/>
          <w:lang w:val="en-US" w:eastAsia="zh-CN"/>
        </w:rPr>
      </w:pPr>
      <w:r>
        <w:rPr>
          <w:rFonts w:hint="eastAsia"/>
          <w:highlight w:val="none"/>
          <w:lang w:val="en-US" w:eastAsia="zh-CN"/>
        </w:rPr>
        <w:t xml:space="preserve">Based on the following simulation results, it seems that MCL between 4.9GHz vs 4.9GHz BS could be up to 91dBc [79dBm EIRP-(-14dBm)]according to the testing results, MCL between 4.9GHz and 3.5GHz BS cannot been observed since the additional interference caused by 4.9GHz BS toward 3.5GHz BS receiver is almost negligible.  </w:t>
      </w:r>
    </w:p>
    <w:p w14:paraId="7EC1ED6B">
      <w:pPr>
        <w:tabs>
          <w:tab w:val="left" w:pos="2127"/>
        </w:tabs>
        <w:spacing w:after="0"/>
        <w:jc w:val="center"/>
        <w:rPr>
          <w:rFonts w:hint="default"/>
          <w:highlight w:val="none"/>
          <w:lang w:val="en-US" w:eastAsia="zh-CN"/>
        </w:rPr>
      </w:pPr>
      <w:r>
        <w:rPr>
          <w:rFonts w:hint="eastAsia"/>
          <w:lang w:val="en-US" w:eastAsia="zh-CN"/>
        </w:rPr>
        <w:t>Table 2.1-2. summary of measured coupling loss different frequency ranges for FR1 WA BS with beam steering</w:t>
      </w:r>
    </w:p>
    <w:tbl>
      <w:tblPr>
        <w:tblStyle w:val="2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3"/>
        <w:gridCol w:w="944"/>
        <w:gridCol w:w="728"/>
        <w:gridCol w:w="728"/>
        <w:gridCol w:w="728"/>
        <w:gridCol w:w="728"/>
        <w:gridCol w:w="728"/>
        <w:gridCol w:w="944"/>
        <w:gridCol w:w="728"/>
        <w:gridCol w:w="728"/>
        <w:gridCol w:w="728"/>
        <w:gridCol w:w="728"/>
        <w:gridCol w:w="729"/>
      </w:tblGrid>
      <w:tr w14:paraId="0B494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0D2EE">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lang w:val="en-US"/>
              </w:rPr>
            </w:pPr>
            <w:r>
              <w:rPr>
                <w:rFonts w:hint="default" w:ascii="Times New Roman" w:hAnsi="Times New Roman" w:cs="Times New Roman"/>
                <w:i w:val="0"/>
                <w:iCs w:val="0"/>
                <w:color w:val="000000"/>
                <w:kern w:val="0"/>
                <w:sz w:val="15"/>
                <w:szCs w:val="15"/>
                <w:u w:val="none"/>
                <w:lang w:val="en-US" w:eastAsia="zh-CN" w:bidi="ar"/>
              </w:rPr>
              <w:t>Victim system</w:t>
            </w:r>
          </w:p>
        </w:tc>
        <w:tc>
          <w:tcPr>
            <w:tcW w:w="23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5F2AE">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4.9G</w:t>
            </w:r>
            <w:r>
              <w:rPr>
                <w:rFonts w:hint="default" w:ascii="Times New Roman" w:hAnsi="Times New Roman" w:cs="Times New Roman"/>
                <w:i w:val="0"/>
                <w:iCs w:val="0"/>
                <w:color w:val="000000"/>
                <w:kern w:val="0"/>
                <w:sz w:val="15"/>
                <w:szCs w:val="15"/>
                <w:u w:val="none"/>
                <w:lang w:val="en-US" w:eastAsia="zh-CN" w:bidi="ar"/>
              </w:rPr>
              <w:t xml:space="preserve"> BS as aggressor</w:t>
            </w:r>
          </w:p>
        </w:tc>
        <w:tc>
          <w:tcPr>
            <w:tcW w:w="2301"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6E188">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cs="Times New Roman"/>
                <w:i w:val="0"/>
                <w:iCs w:val="0"/>
                <w:color w:val="000000"/>
                <w:kern w:val="0"/>
                <w:sz w:val="15"/>
                <w:szCs w:val="15"/>
                <w:u w:val="none"/>
                <w:lang w:val="en-US" w:eastAsia="zh-CN" w:bidi="ar"/>
              </w:rPr>
              <w:t>3</w:t>
            </w:r>
            <w:r>
              <w:rPr>
                <w:rFonts w:hint="default" w:ascii="Times New Roman" w:hAnsi="Times New Roman" w:eastAsia="宋体" w:cs="Times New Roman"/>
                <w:i w:val="0"/>
                <w:iCs w:val="0"/>
                <w:color w:val="000000"/>
                <w:kern w:val="0"/>
                <w:sz w:val="15"/>
                <w:szCs w:val="15"/>
                <w:u w:val="none"/>
                <w:lang w:val="en-US" w:eastAsia="zh-CN" w:bidi="ar"/>
              </w:rPr>
              <w:t>.</w:t>
            </w:r>
            <w:r>
              <w:rPr>
                <w:rFonts w:hint="default" w:ascii="Times New Roman" w:hAnsi="Times New Roman" w:cs="Times New Roman"/>
                <w:i w:val="0"/>
                <w:iCs w:val="0"/>
                <w:color w:val="000000"/>
                <w:kern w:val="0"/>
                <w:sz w:val="15"/>
                <w:szCs w:val="15"/>
                <w:u w:val="none"/>
                <w:lang w:val="en-US" w:eastAsia="zh-CN" w:bidi="ar"/>
              </w:rPr>
              <w:t>5</w:t>
            </w:r>
            <w:r>
              <w:rPr>
                <w:rFonts w:hint="default" w:ascii="Times New Roman" w:hAnsi="Times New Roman" w:eastAsia="宋体" w:cs="Times New Roman"/>
                <w:i w:val="0"/>
                <w:iCs w:val="0"/>
                <w:color w:val="000000"/>
                <w:kern w:val="0"/>
                <w:sz w:val="15"/>
                <w:szCs w:val="15"/>
                <w:u w:val="none"/>
                <w:lang w:val="en-US" w:eastAsia="zh-CN" w:bidi="ar"/>
              </w:rPr>
              <w:t>G</w:t>
            </w:r>
            <w:r>
              <w:rPr>
                <w:rFonts w:hint="default" w:ascii="Times New Roman" w:hAnsi="Times New Roman" w:cs="Times New Roman"/>
                <w:i w:val="0"/>
                <w:iCs w:val="0"/>
                <w:color w:val="000000"/>
                <w:kern w:val="0"/>
                <w:sz w:val="15"/>
                <w:szCs w:val="15"/>
                <w:u w:val="none"/>
                <w:lang w:val="en-US" w:eastAsia="zh-CN" w:bidi="ar"/>
              </w:rPr>
              <w:t xml:space="preserve"> BS as aggressor</w:t>
            </w:r>
          </w:p>
        </w:tc>
      </w:tr>
      <w:tr w14:paraId="53B71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AC170">
            <w:pPr>
              <w:keepNext w:val="0"/>
              <w:keepLines w:val="0"/>
              <w:suppressLineNumbers w:val="0"/>
              <w:spacing w:before="0" w:beforeAutospacing="0" w:afterAutospacing="0"/>
              <w:ind w:left="0" w:right="0"/>
              <w:jc w:val="center"/>
              <w:rPr>
                <w:rFonts w:hint="default" w:ascii="Times New Roman" w:hAnsi="Times New Roman" w:eastAsia="宋体" w:cs="Times New Roman"/>
                <w:i w:val="0"/>
                <w:iCs w:val="0"/>
                <w:color w:val="000000"/>
                <w:sz w:val="15"/>
                <w:szCs w:val="15"/>
                <w:u w:val="none"/>
              </w:rPr>
            </w:pPr>
          </w:p>
        </w:tc>
        <w:tc>
          <w:tcPr>
            <w:tcW w:w="47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EAF6C">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lang w:val="en-US" w:eastAsia="zh-CN"/>
              </w:rPr>
            </w:pPr>
            <w:r>
              <w:rPr>
                <w:rFonts w:hint="default" w:ascii="Times New Roman" w:hAnsi="Times New Roman" w:cs="Times New Roman"/>
                <w:i w:val="0"/>
                <w:iCs w:val="0"/>
                <w:color w:val="000000"/>
                <w:sz w:val="15"/>
                <w:szCs w:val="15"/>
                <w:u w:val="none"/>
                <w:lang w:val="en-US" w:eastAsia="zh-CN"/>
              </w:rPr>
              <w:t>Without aggressor</w:t>
            </w:r>
          </w:p>
        </w:tc>
        <w:tc>
          <w:tcPr>
            <w:tcW w:w="1826"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744C9">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lang w:val="en-US"/>
              </w:rPr>
            </w:pPr>
            <w:r>
              <w:rPr>
                <w:rFonts w:hint="default" w:ascii="Times New Roman" w:hAnsi="Times New Roman" w:cs="Times New Roman"/>
                <w:i w:val="0"/>
                <w:iCs w:val="0"/>
                <w:color w:val="000000"/>
                <w:kern w:val="0"/>
                <w:sz w:val="15"/>
                <w:szCs w:val="15"/>
                <w:u w:val="none"/>
                <w:lang w:val="en-US" w:eastAsia="zh-CN" w:bidi="ar"/>
              </w:rPr>
              <w:t>With aggressor</w:t>
            </w:r>
          </w:p>
        </w:tc>
        <w:tc>
          <w:tcPr>
            <w:tcW w:w="47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EBF17">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cs="Times New Roman"/>
                <w:i w:val="0"/>
                <w:iCs w:val="0"/>
                <w:color w:val="000000"/>
                <w:sz w:val="15"/>
                <w:szCs w:val="15"/>
                <w:u w:val="none"/>
                <w:lang w:val="en-US" w:eastAsia="zh-CN"/>
              </w:rPr>
              <w:t>Without aggressor</w:t>
            </w:r>
          </w:p>
        </w:tc>
        <w:tc>
          <w:tcPr>
            <w:tcW w:w="1828"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434DE">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cs="Times New Roman"/>
                <w:i w:val="0"/>
                <w:iCs w:val="0"/>
                <w:color w:val="000000"/>
                <w:kern w:val="0"/>
                <w:sz w:val="15"/>
                <w:szCs w:val="15"/>
                <w:u w:val="none"/>
                <w:lang w:val="en-US" w:eastAsia="zh-CN" w:bidi="ar"/>
              </w:rPr>
              <w:t>With aggressor</w:t>
            </w:r>
          </w:p>
        </w:tc>
      </w:tr>
      <w:tr w14:paraId="6D0D2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C8E16">
            <w:pPr>
              <w:keepNext w:val="0"/>
              <w:keepLines w:val="0"/>
              <w:suppressLineNumbers w:val="0"/>
              <w:spacing w:before="0" w:beforeAutospacing="0" w:afterAutospacing="0"/>
              <w:ind w:left="0" w:right="0"/>
              <w:jc w:val="center"/>
              <w:rPr>
                <w:rFonts w:hint="default" w:ascii="Times New Roman" w:hAnsi="Times New Roman" w:eastAsia="宋体" w:cs="Times New Roman"/>
                <w:i w:val="0"/>
                <w:iCs w:val="0"/>
                <w:color w:val="000000"/>
                <w:sz w:val="15"/>
                <w:szCs w:val="15"/>
                <w:u w:val="none"/>
              </w:rPr>
            </w:pPr>
          </w:p>
        </w:tc>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93DCA">
            <w:pPr>
              <w:keepNext w:val="0"/>
              <w:keepLines w:val="0"/>
              <w:suppressLineNumbers w:val="0"/>
              <w:spacing w:before="0" w:beforeAutospacing="0" w:afterAutospacing="0"/>
              <w:ind w:left="0" w:right="0"/>
              <w:jc w:val="center"/>
              <w:rPr>
                <w:rFonts w:hint="default" w:ascii="Times New Roman" w:hAnsi="Times New Roman" w:eastAsia="宋体" w:cs="Times New Roman"/>
                <w:i w:val="0"/>
                <w:iCs w:val="0"/>
                <w:color w:val="000000"/>
                <w:sz w:val="15"/>
                <w:szCs w:val="15"/>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F8CCF">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H0V-7</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1F7E0">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H0V6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09347">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H0V19</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C4F3A">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H60V6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1534A">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H-60V6</w:t>
            </w:r>
          </w:p>
        </w:tc>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A23B3">
            <w:pPr>
              <w:keepNext w:val="0"/>
              <w:keepLines w:val="0"/>
              <w:suppressLineNumbers w:val="0"/>
              <w:spacing w:before="0" w:beforeAutospacing="0" w:afterAutospacing="0"/>
              <w:ind w:left="0" w:right="0"/>
              <w:jc w:val="center"/>
              <w:rPr>
                <w:rFonts w:hint="default" w:ascii="Times New Roman" w:hAnsi="Times New Roman" w:eastAsia="宋体" w:cs="Times New Roman"/>
                <w:i w:val="0"/>
                <w:iCs w:val="0"/>
                <w:color w:val="000000"/>
                <w:sz w:val="15"/>
                <w:szCs w:val="15"/>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D8094">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H0V-7</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E48DC">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H0V6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D10AB">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H0V19</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E89FF">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H60V6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C7AC8">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H-60V6</w:t>
            </w:r>
          </w:p>
        </w:tc>
      </w:tr>
      <w:tr w14:paraId="4C05F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CEB39">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4.9G</w:t>
            </w:r>
          </w:p>
        </w:tc>
        <w:tc>
          <w:tcPr>
            <w:tcW w:w="4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38B80">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D7E8C">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-14~-15dBm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E7235">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-14~-15dBm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9574F">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-14~-15dBm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C5F4B">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-14~-15dBm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920A8">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-14~-15dBm</w:t>
            </w:r>
          </w:p>
        </w:tc>
        <w:tc>
          <w:tcPr>
            <w:tcW w:w="4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93A7F">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8C111">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811F1">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B1D62">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7A841">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DDA41">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r>
      <w:tr w14:paraId="596C8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CFDB7">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3.5G</w:t>
            </w:r>
          </w:p>
        </w:tc>
        <w:tc>
          <w:tcPr>
            <w:tcW w:w="4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BA709">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64370">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49318">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34FAC">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38157">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74AAC">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473"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6F23EFF">
            <w:pPr>
              <w:keepNext w:val="0"/>
              <w:keepLines w:val="0"/>
              <w:suppressLineNumbers w:val="0"/>
              <w:spacing w:before="0" w:beforeAutospacing="0" w:afterAutospacing="0"/>
              <w:ind w:left="0" w:right="0"/>
              <w:jc w:val="center"/>
              <w:rPr>
                <w:rFonts w:hint="default" w:ascii="Times New Roman" w:hAnsi="Times New Roman" w:eastAsia="宋体" w:cs="Times New Roman"/>
                <w:i w:val="0"/>
                <w:iCs w:val="0"/>
                <w:color w:val="000000"/>
                <w:sz w:val="15"/>
                <w:szCs w:val="15"/>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C65589E">
            <w:pPr>
              <w:keepNext w:val="0"/>
              <w:keepLines w:val="0"/>
              <w:suppressLineNumbers w:val="0"/>
              <w:spacing w:before="0" w:beforeAutospacing="0" w:afterAutospacing="0"/>
              <w:ind w:left="0" w:right="0"/>
              <w:jc w:val="center"/>
              <w:rPr>
                <w:rFonts w:hint="default" w:ascii="Times New Roman" w:hAnsi="Times New Roman" w:eastAsia="宋体" w:cs="Times New Roman"/>
                <w:i w:val="0"/>
                <w:iCs w:val="0"/>
                <w:color w:val="000000"/>
                <w:sz w:val="15"/>
                <w:szCs w:val="15"/>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2F2F2"/>
            <w:noWrap/>
            <w:vAlign w:val="bottom"/>
          </w:tcPr>
          <w:p w14:paraId="00A9566E">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15"/>
                <w:szCs w:val="15"/>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2F2F2"/>
            <w:noWrap/>
            <w:vAlign w:val="bottom"/>
          </w:tcPr>
          <w:p w14:paraId="7F3EABF3">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15"/>
                <w:szCs w:val="15"/>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2F2F2"/>
            <w:noWrap/>
            <w:vAlign w:val="bottom"/>
          </w:tcPr>
          <w:p w14:paraId="6CEC9D67">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15"/>
                <w:szCs w:val="15"/>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2F2F2"/>
            <w:noWrap/>
            <w:vAlign w:val="bottom"/>
          </w:tcPr>
          <w:p w14:paraId="7F832D7A">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15"/>
                <w:szCs w:val="15"/>
                <w:u w:val="none"/>
              </w:rPr>
            </w:pPr>
          </w:p>
        </w:tc>
      </w:tr>
      <w:tr w14:paraId="4C4C0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1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3DB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cs="Times New Roman"/>
                <w:i w:val="0"/>
                <w:iCs w:val="0"/>
                <w:color w:val="000000"/>
                <w:sz w:val="15"/>
                <w:szCs w:val="15"/>
                <w:u w:val="none"/>
                <w:lang w:val="en-US" w:eastAsia="zh-CN"/>
              </w:rPr>
            </w:pPr>
            <w:r>
              <w:rPr>
                <w:rFonts w:hint="default" w:ascii="Times New Roman" w:hAnsi="Times New Roman" w:cs="Times New Roman"/>
                <w:i w:val="0"/>
                <w:iCs w:val="0"/>
                <w:color w:val="000000"/>
                <w:sz w:val="15"/>
                <w:szCs w:val="15"/>
                <w:u w:val="none"/>
                <w:lang w:val="en-US" w:eastAsia="zh-CN"/>
              </w:rPr>
              <w:t>NOTE 1: H0V-7 means the horizontal beam steering is 0 degree and vertical beam steering is -7 degree.</w:t>
            </w:r>
          </w:p>
          <w:p w14:paraId="541E07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cs="Times New Roman"/>
                <w:i w:val="0"/>
                <w:iCs w:val="0"/>
                <w:color w:val="000000"/>
                <w:sz w:val="15"/>
                <w:szCs w:val="15"/>
                <w:u w:val="none"/>
                <w:lang w:val="en-US" w:eastAsia="zh-CN"/>
              </w:rPr>
            </w:pPr>
            <w:r>
              <w:rPr>
                <w:rFonts w:hint="default" w:ascii="Times New Roman" w:hAnsi="Times New Roman" w:cs="Times New Roman"/>
                <w:i w:val="0"/>
                <w:iCs w:val="0"/>
                <w:color w:val="000000"/>
                <w:sz w:val="15"/>
                <w:szCs w:val="15"/>
                <w:u w:val="none"/>
                <w:lang w:val="en-US" w:eastAsia="zh-CN"/>
              </w:rPr>
              <w:t>NOTE 2: H0V6 means the horizontal beam steering is 0 degree and vertical beam steering is 6 degree.</w:t>
            </w:r>
          </w:p>
          <w:p w14:paraId="5FCFE1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cs="Times New Roman"/>
                <w:i w:val="0"/>
                <w:iCs w:val="0"/>
                <w:color w:val="000000"/>
                <w:sz w:val="15"/>
                <w:szCs w:val="15"/>
                <w:u w:val="none"/>
                <w:lang w:val="en-US" w:eastAsia="zh-CN"/>
              </w:rPr>
            </w:pPr>
            <w:r>
              <w:rPr>
                <w:rFonts w:hint="default" w:ascii="Times New Roman" w:hAnsi="Times New Roman" w:cs="Times New Roman"/>
                <w:i w:val="0"/>
                <w:iCs w:val="0"/>
                <w:color w:val="000000"/>
                <w:sz w:val="15"/>
                <w:szCs w:val="15"/>
                <w:u w:val="none"/>
                <w:lang w:val="en-US" w:eastAsia="zh-CN"/>
              </w:rPr>
              <w:t>NOTE 3: H0V19 means the horizontal beam steering is 0 degree and vertical beam steering is 19 degree.</w:t>
            </w:r>
          </w:p>
          <w:p w14:paraId="6BAC86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cs="Times New Roman"/>
                <w:i w:val="0"/>
                <w:iCs w:val="0"/>
                <w:color w:val="000000"/>
                <w:sz w:val="15"/>
                <w:szCs w:val="15"/>
                <w:u w:val="none"/>
                <w:lang w:val="en-US" w:eastAsia="zh-CN"/>
              </w:rPr>
            </w:pPr>
            <w:r>
              <w:rPr>
                <w:rFonts w:hint="default" w:ascii="Times New Roman" w:hAnsi="Times New Roman" w:cs="Times New Roman"/>
                <w:i w:val="0"/>
                <w:iCs w:val="0"/>
                <w:color w:val="000000"/>
                <w:sz w:val="15"/>
                <w:szCs w:val="15"/>
                <w:u w:val="none"/>
                <w:lang w:val="en-US" w:eastAsia="zh-CN"/>
              </w:rPr>
              <w:t>NOTE 4: H60V6 means the horizontal beam steering is 60 degree and vertical beam steering is 6 degree.</w:t>
            </w:r>
          </w:p>
          <w:p w14:paraId="5C4451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cs="Times New Roman"/>
                <w:i w:val="0"/>
                <w:iCs w:val="0"/>
                <w:color w:val="000000"/>
                <w:sz w:val="15"/>
                <w:szCs w:val="15"/>
                <w:u w:val="none"/>
                <w:lang w:val="en-US" w:eastAsia="zh-CN"/>
              </w:rPr>
            </w:pPr>
            <w:r>
              <w:rPr>
                <w:rFonts w:hint="default" w:ascii="Times New Roman" w:hAnsi="Times New Roman" w:cs="Times New Roman"/>
                <w:i w:val="0"/>
                <w:iCs w:val="0"/>
                <w:color w:val="000000"/>
                <w:sz w:val="15"/>
                <w:szCs w:val="15"/>
                <w:u w:val="none"/>
                <w:lang w:val="en-US" w:eastAsia="zh-CN"/>
              </w:rPr>
              <w:t>NOTE 5: H-60V6 means the horizontal beam steering is -60 degree and vertical beam steering is 6 degree.</w:t>
            </w:r>
          </w:p>
          <w:p w14:paraId="0DCD48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cs="Times New Roman"/>
                <w:i w:val="0"/>
                <w:iCs w:val="0"/>
                <w:color w:val="000000"/>
                <w:sz w:val="24"/>
                <w:szCs w:val="24"/>
                <w:u w:val="none"/>
                <w:lang w:val="en-US" w:eastAsia="zh-CN"/>
              </w:rPr>
            </w:pPr>
            <w:r>
              <w:rPr>
                <w:rFonts w:hint="default" w:ascii="Times New Roman" w:hAnsi="Times New Roman" w:cs="Times New Roman"/>
                <w:i w:val="0"/>
                <w:iCs w:val="0"/>
                <w:color w:val="000000"/>
                <w:sz w:val="15"/>
                <w:szCs w:val="15"/>
                <w:u w:val="none"/>
                <w:lang w:val="en-US" w:eastAsia="zh-CN"/>
              </w:rPr>
              <w:t>NOTE 6: sub-array configuration is 1x12 for 4.9GHz BS.</w:t>
            </w:r>
          </w:p>
        </w:tc>
      </w:tr>
    </w:tbl>
    <w:p w14:paraId="2988421C">
      <w:pPr>
        <w:tabs>
          <w:tab w:val="left" w:pos="2127"/>
        </w:tabs>
        <w:spacing w:after="0"/>
        <w:rPr>
          <w:rFonts w:hint="default"/>
          <w:highlight w:val="none"/>
          <w:lang w:val="en-US" w:eastAsia="zh-CN"/>
        </w:rPr>
      </w:pPr>
      <w:r>
        <w:rPr>
          <w:rFonts w:hint="eastAsia"/>
          <w:highlight w:val="none"/>
          <w:lang w:val="en-US" w:eastAsia="zh-CN"/>
        </w:rPr>
        <w:t>Based on the following simulation results for TxM with different MCL assumption and 3</w:t>
      </w:r>
      <w:r>
        <w:rPr>
          <w:rFonts w:hint="eastAsia"/>
          <w:highlight w:val="none"/>
          <w:vertAlign w:val="superscript"/>
          <w:lang w:val="en-US" w:eastAsia="zh-CN"/>
        </w:rPr>
        <w:t>rd</w:t>
      </w:r>
      <w:r>
        <w:rPr>
          <w:rFonts w:hint="eastAsia"/>
          <w:highlight w:val="none"/>
          <w:lang w:val="en-US" w:eastAsia="zh-CN"/>
        </w:rPr>
        <w:t xml:space="preserve"> interference signal configuration, it could be found that additional emission caused by TxM when MCL is 60dBc is 20dB less than Cat B spurious emission -30dBm/MHz. For 4.9GHz BS vs 4.9GHz case, the observed MCL between array to sub-array under the different beam steering range could be up to 91dB which should be sufficient to demonstrate the impacts of such kind of TxM should be negligible and should be removed from the conformance testing. </w:t>
      </w:r>
    </w:p>
    <w:p w14:paraId="0742E497">
      <w:pPr>
        <w:jc w:val="center"/>
      </w:pPr>
      <w:r>
        <w:drawing>
          <wp:inline distT="0" distB="0" distL="114300" distR="114300">
            <wp:extent cx="5514975" cy="413385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1"/>
                    <a:stretch>
                      <a:fillRect/>
                    </a:stretch>
                  </pic:blipFill>
                  <pic:spPr>
                    <a:xfrm>
                      <a:off x="0" y="0"/>
                      <a:ext cx="5514975" cy="4133850"/>
                    </a:xfrm>
                    <a:prstGeom prst="rect">
                      <a:avLst/>
                    </a:prstGeom>
                    <a:noFill/>
                    <a:ln>
                      <a:noFill/>
                    </a:ln>
                  </pic:spPr>
                </pic:pic>
              </a:graphicData>
            </a:graphic>
          </wp:inline>
        </w:drawing>
      </w:r>
    </w:p>
    <w:p w14:paraId="730352B8">
      <w:pPr>
        <w:jc w:val="center"/>
        <w:rPr>
          <w:rFonts w:hint="default" w:eastAsia="宋体"/>
          <w:lang w:val="en-US" w:eastAsia="zh-CN"/>
        </w:rPr>
      </w:pPr>
      <w:r>
        <w:rPr>
          <w:rFonts w:hint="eastAsia"/>
          <w:lang w:val="en-US" w:eastAsia="zh-CN"/>
        </w:rPr>
        <w:t>Figure 2.1-3. TxM performance with 3</w:t>
      </w:r>
      <w:r>
        <w:rPr>
          <w:rFonts w:hint="eastAsia"/>
          <w:vertAlign w:val="superscript"/>
          <w:lang w:val="en-US" w:eastAsia="zh-CN"/>
        </w:rPr>
        <w:t>rd</w:t>
      </w:r>
      <w:r>
        <w:rPr>
          <w:rFonts w:hint="eastAsia"/>
          <w:lang w:val="en-US" w:eastAsia="zh-CN"/>
        </w:rPr>
        <w:t xml:space="preserve"> TxM interference signal considered [40MHz carrier per 46dBm]</w:t>
      </w:r>
    </w:p>
    <w:p w14:paraId="564D57CB">
      <w:pPr>
        <w:tabs>
          <w:tab w:val="left" w:pos="2127"/>
        </w:tabs>
        <w:spacing w:after="0"/>
        <w:rPr>
          <w:rFonts w:hint="eastAsia"/>
          <w:highlight w:val="none"/>
          <w:lang w:val="en-US" w:eastAsia="zh-CN"/>
        </w:rPr>
      </w:pPr>
      <w:r>
        <w:rPr>
          <w:rFonts w:hint="eastAsia"/>
          <w:b/>
          <w:bCs/>
          <w:lang w:val="en-US" w:eastAsia="zh-CN"/>
        </w:rPr>
        <w:t>Observation 3</w:t>
      </w:r>
      <w:r>
        <w:rPr>
          <w:rFonts w:hint="eastAsia"/>
          <w:lang w:val="en-US" w:eastAsia="zh-CN"/>
        </w:rPr>
        <w:t xml:space="preserve">: the observed </w:t>
      </w:r>
      <w:r>
        <w:rPr>
          <w:rFonts w:hint="eastAsia"/>
          <w:highlight w:val="none"/>
          <w:lang w:val="en-US" w:eastAsia="zh-CN"/>
        </w:rPr>
        <w:t>MCL between 4.9GHz vs 4.9GHz BS could be up to 91dBc.</w:t>
      </w:r>
    </w:p>
    <w:p w14:paraId="659139CB">
      <w:pPr>
        <w:tabs>
          <w:tab w:val="left" w:pos="2127"/>
        </w:tabs>
        <w:spacing w:after="0"/>
        <w:rPr>
          <w:rFonts w:hint="eastAsia"/>
          <w:lang w:val="en-US" w:eastAsia="zh-CN"/>
        </w:rPr>
      </w:pPr>
      <w:r>
        <w:rPr>
          <w:rFonts w:hint="eastAsia"/>
          <w:b/>
          <w:bCs/>
          <w:lang w:val="en-US" w:eastAsia="zh-CN"/>
        </w:rPr>
        <w:t>Observation 4</w:t>
      </w:r>
      <w:r>
        <w:rPr>
          <w:rFonts w:hint="eastAsia"/>
          <w:lang w:val="en-US" w:eastAsia="zh-CN"/>
        </w:rPr>
        <w:t xml:space="preserve">: </w:t>
      </w:r>
      <w:r>
        <w:rPr>
          <w:rFonts w:hint="eastAsia"/>
          <w:highlight w:val="none"/>
          <w:lang w:val="en-US" w:eastAsia="zh-CN"/>
        </w:rPr>
        <w:t xml:space="preserve">MCL between 4.9GHz and 3.5GHz BS cannot been observed since the additional interference caused by 4.9GHz BS toward 3.5GHz BS receiver is almost negligible. </w:t>
      </w:r>
    </w:p>
    <w:p w14:paraId="60F89616">
      <w:pPr>
        <w:tabs>
          <w:tab w:val="left" w:pos="2127"/>
        </w:tabs>
        <w:spacing w:after="0"/>
        <w:rPr>
          <w:rFonts w:hint="default"/>
          <w:highlight w:val="none"/>
          <w:lang w:val="en-US" w:eastAsia="zh-CN"/>
        </w:rPr>
      </w:pPr>
      <w:r>
        <w:rPr>
          <w:rFonts w:hint="eastAsia"/>
          <w:b/>
          <w:bCs/>
          <w:lang w:val="en-US" w:eastAsia="zh-CN"/>
        </w:rPr>
        <w:t>Observation 5</w:t>
      </w:r>
      <w:r>
        <w:rPr>
          <w:rFonts w:hint="eastAsia"/>
          <w:lang w:val="en-US" w:eastAsia="zh-CN"/>
        </w:rPr>
        <w:t xml:space="preserve">:if MCL is assumed as 60dBc, the </w:t>
      </w:r>
      <w:r>
        <w:rPr>
          <w:rFonts w:hint="eastAsia"/>
          <w:highlight w:val="none"/>
          <w:lang w:val="en-US" w:eastAsia="zh-CN"/>
        </w:rPr>
        <w:t>additional unwanted emission caused by TxM is 20dB lower than Cat B spurious emission -30dBm/MHz.</w:t>
      </w:r>
    </w:p>
    <w:p w14:paraId="7338F72E">
      <w:pPr>
        <w:pStyle w:val="3"/>
        <w:numPr>
          <w:ilvl w:val="1"/>
          <w:numId w:val="1"/>
        </w:numPr>
        <w:ind w:left="720" w:leftChars="0" w:hanging="720" w:firstLineChars="0"/>
        <w:rPr>
          <w:b w:val="0"/>
          <w:bCs w:val="0"/>
          <w:sz w:val="28"/>
          <w:szCs w:val="28"/>
        </w:rPr>
      </w:pPr>
      <w:r>
        <w:rPr>
          <w:rFonts w:hint="eastAsia"/>
          <w:b w:val="0"/>
          <w:bCs w:val="0"/>
          <w:sz w:val="28"/>
          <w:szCs w:val="28"/>
          <w:lang w:val="en-US" w:eastAsia="zh-CN"/>
        </w:rPr>
        <w:t xml:space="preserve">. The set of impacted specific requirement </w:t>
      </w:r>
    </w:p>
    <w:p w14:paraId="057690C7">
      <w:pPr>
        <w:tabs>
          <w:tab w:val="left" w:pos="2127"/>
        </w:tabs>
        <w:spacing w:after="0"/>
        <w:rPr>
          <w:rFonts w:hint="default"/>
          <w:lang w:val="en-US" w:eastAsia="zh-CN"/>
        </w:rPr>
      </w:pPr>
      <w:r>
        <w:rPr>
          <w:rFonts w:hint="eastAsia"/>
          <w:lang w:val="en-US" w:eastAsia="zh-CN"/>
        </w:rPr>
        <w:t xml:space="preserve">In the previous discussions, there were some discussions on the impacted specific requirement, we would like to review the background for the following requirement firstly. </w:t>
      </w:r>
    </w:p>
    <w:p w14:paraId="0F42CCF3">
      <w:pPr>
        <w:keepNext w:val="0"/>
        <w:keepLines w:val="0"/>
        <w:pageBreakBefore w:val="0"/>
        <w:widowControl w:val="0"/>
        <w:kinsoku/>
        <w:wordWrap/>
        <w:overflowPunct/>
        <w:topLinePunct w:val="0"/>
        <w:autoSpaceDE/>
        <w:autoSpaceDN/>
        <w:bidi w:val="0"/>
        <w:adjustRightInd/>
        <w:snapToGrid w:val="0"/>
        <w:spacing w:after="120" w:line="260" w:lineRule="auto"/>
        <w:jc w:val="both"/>
        <w:textAlignment w:val="auto"/>
        <w:outlineLvl w:val="2"/>
        <w:rPr>
          <w:rFonts w:hint="default"/>
          <w:sz w:val="21"/>
          <w:szCs w:val="21"/>
          <w:lang w:val="en-US" w:eastAsia="zh-CN"/>
        </w:rPr>
      </w:pPr>
      <w:r>
        <w:rPr>
          <w:rFonts w:hint="eastAsia"/>
          <w:sz w:val="21"/>
          <w:szCs w:val="21"/>
          <w:lang w:val="en-US" w:eastAsia="zh-CN"/>
        </w:rPr>
        <w:t>2.2.1.Transmitter OFF power requirement</w:t>
      </w:r>
    </w:p>
    <w:p w14:paraId="64D33041">
      <w:pPr>
        <w:snapToGrid w:val="0"/>
        <w:spacing w:after="120"/>
        <w:jc w:val="both"/>
        <w:rPr>
          <w:rFonts w:hint="eastAsia"/>
          <w:sz w:val="21"/>
          <w:szCs w:val="21"/>
          <w:lang w:eastAsia="zh-CN"/>
        </w:rPr>
      </w:pPr>
      <w:r>
        <w:rPr>
          <w:rFonts w:hint="eastAsia"/>
          <w:sz w:val="21"/>
          <w:szCs w:val="21"/>
          <w:lang w:val="en-US" w:eastAsia="zh-CN"/>
        </w:rPr>
        <w:t>For NR BS</w:t>
      </w:r>
      <w:r>
        <w:rPr>
          <w:rFonts w:hint="eastAsia"/>
          <w:sz w:val="21"/>
          <w:szCs w:val="21"/>
          <w:lang w:eastAsia="zh-CN"/>
        </w:rPr>
        <w:t xml:space="preserve"> </w:t>
      </w:r>
      <w:r>
        <w:rPr>
          <w:sz w:val="21"/>
          <w:szCs w:val="21"/>
          <w:lang w:eastAsia="zh-CN"/>
        </w:rPr>
        <w:t>transmit</w:t>
      </w:r>
      <w:r>
        <w:rPr>
          <w:rFonts w:hint="eastAsia"/>
          <w:sz w:val="21"/>
          <w:szCs w:val="21"/>
          <w:lang w:eastAsia="zh-CN"/>
        </w:rPr>
        <w:t xml:space="preserve"> OFF power is defined </w:t>
      </w:r>
      <w:r>
        <w:rPr>
          <w:rFonts w:hint="eastAsia"/>
          <w:snapToGrid/>
          <w:sz w:val="21"/>
          <w:szCs w:val="21"/>
          <w:lang w:eastAsia="zh-CN"/>
        </w:rPr>
        <w:t>in terms of PSD in 1MHz,</w:t>
      </w:r>
      <w:r>
        <w:rPr>
          <w:sz w:val="21"/>
          <w:szCs w:val="21"/>
          <w:lang w:eastAsia="zh-CN"/>
        </w:rPr>
        <w:t xml:space="preserve"> calculate</w:t>
      </w:r>
      <w:r>
        <w:rPr>
          <w:rFonts w:hint="eastAsia"/>
          <w:sz w:val="21"/>
          <w:szCs w:val="21"/>
          <w:lang w:eastAsia="zh-CN"/>
        </w:rPr>
        <w:t xml:space="preserve">d as </w:t>
      </w:r>
      <w:r>
        <w:rPr>
          <w:sz w:val="21"/>
          <w:szCs w:val="21"/>
          <w:lang w:eastAsia="zh-CN"/>
        </w:rPr>
        <w:t>following</w:t>
      </w:r>
      <w:r>
        <w:rPr>
          <w:rFonts w:hint="eastAsia"/>
          <w:sz w:val="21"/>
          <w:szCs w:val="21"/>
          <w:lang w:eastAsia="zh-CN"/>
        </w:rPr>
        <w:t>:</w:t>
      </w:r>
    </w:p>
    <w:p w14:paraId="1AA554EA">
      <w:pPr>
        <w:snapToGrid w:val="0"/>
        <w:spacing w:after="120"/>
        <w:ind w:left="900" w:hanging="480"/>
        <w:jc w:val="both"/>
        <w:rPr>
          <w:rFonts w:hint="eastAsia"/>
          <w:sz w:val="21"/>
          <w:szCs w:val="21"/>
          <w:lang w:eastAsia="zh-CN"/>
        </w:rPr>
      </w:pPr>
      <w:r>
        <w:rPr>
          <w:rFonts w:hint="eastAsia"/>
          <w:sz w:val="21"/>
          <w:szCs w:val="21"/>
          <w:lang w:eastAsia="zh-CN"/>
        </w:rPr>
        <w:t>[</w:t>
      </w:r>
      <w:r>
        <w:rPr>
          <w:sz w:val="21"/>
          <w:szCs w:val="21"/>
          <w:lang w:eastAsia="zh-CN"/>
        </w:rPr>
        <w:t>T</w:t>
      </w:r>
      <w:r>
        <w:rPr>
          <w:rFonts w:hint="eastAsia"/>
          <w:sz w:val="21"/>
          <w:szCs w:val="21"/>
          <w:lang w:eastAsia="zh-CN"/>
        </w:rPr>
        <w:t xml:space="preserve">ransmit OFF power] &lt; [Thermal noise] + [Noise Figure] </w:t>
      </w:r>
      <w:r>
        <w:rPr>
          <w:sz w:val="21"/>
          <w:szCs w:val="21"/>
          <w:lang w:eastAsia="zh-CN"/>
        </w:rPr>
        <w:t>–</w:t>
      </w:r>
      <w:r>
        <w:rPr>
          <w:rFonts w:hint="eastAsia"/>
          <w:sz w:val="21"/>
          <w:szCs w:val="21"/>
          <w:lang w:eastAsia="zh-CN"/>
        </w:rPr>
        <w:t xml:space="preserve"> 6dB + [Minimum coupling </w:t>
      </w:r>
      <w:r>
        <w:rPr>
          <w:sz w:val="21"/>
          <w:szCs w:val="21"/>
          <w:lang w:eastAsia="zh-CN"/>
        </w:rPr>
        <w:t>loss (</w:t>
      </w:r>
      <w:r>
        <w:rPr>
          <w:rFonts w:hint="eastAsia"/>
          <w:sz w:val="21"/>
          <w:szCs w:val="21"/>
          <w:lang w:eastAsia="zh-CN"/>
        </w:rPr>
        <w:t>MCL)</w:t>
      </w:r>
      <w:r>
        <w:rPr>
          <w:sz w:val="21"/>
          <w:szCs w:val="21"/>
          <w:lang w:eastAsia="zh-CN"/>
        </w:rPr>
        <w:t xml:space="preserve">] + </w:t>
      </w:r>
      <w:r>
        <w:rPr>
          <w:rFonts w:hint="eastAsia"/>
          <w:sz w:val="21"/>
          <w:szCs w:val="21"/>
          <w:lang w:eastAsia="zh-CN"/>
        </w:rPr>
        <w:t>10log</w:t>
      </w:r>
      <w:r>
        <w:rPr>
          <w:sz w:val="21"/>
          <w:szCs w:val="21"/>
          <w:lang w:eastAsia="zh-CN"/>
        </w:rPr>
        <w:t>[</w:t>
      </w:r>
      <w:r>
        <w:rPr>
          <w:rFonts w:hint="eastAsia"/>
          <w:sz w:val="21"/>
          <w:szCs w:val="21"/>
          <w:lang w:eastAsia="zh-CN"/>
        </w:rPr>
        <w:t>1MHz]</w:t>
      </w:r>
    </w:p>
    <w:p w14:paraId="1363D3C3">
      <w:pPr>
        <w:snapToGrid w:val="0"/>
        <w:spacing w:after="120"/>
        <w:ind w:left="900" w:hanging="480"/>
        <w:jc w:val="both"/>
        <w:rPr>
          <w:rFonts w:hint="eastAsia"/>
          <w:sz w:val="21"/>
          <w:szCs w:val="21"/>
          <w:lang w:val="en-US" w:eastAsia="zh-CN"/>
        </w:rPr>
      </w:pPr>
      <w:r>
        <w:rPr>
          <w:rFonts w:hint="eastAsia"/>
          <w:sz w:val="21"/>
          <w:szCs w:val="21"/>
          <w:lang w:eastAsia="zh-CN"/>
        </w:rPr>
        <w:tab/>
      </w:r>
      <w:r>
        <w:rPr>
          <w:rFonts w:hint="eastAsia"/>
          <w:sz w:val="21"/>
          <w:szCs w:val="21"/>
          <w:lang w:eastAsia="zh-CN"/>
        </w:rPr>
        <w:t>&lt;</w:t>
      </w:r>
      <w:r>
        <w:rPr>
          <w:rFonts w:hint="eastAsia"/>
          <w:sz w:val="21"/>
          <w:szCs w:val="21"/>
          <w:lang w:val="en-US" w:eastAsia="zh-CN"/>
        </w:rPr>
        <w:t xml:space="preserve"> -174 + 5 </w:t>
      </w:r>
      <w:r>
        <w:rPr>
          <w:sz w:val="21"/>
          <w:szCs w:val="21"/>
          <w:lang w:val="en-US" w:eastAsia="zh-CN"/>
        </w:rPr>
        <w:t>–</w:t>
      </w:r>
      <w:r>
        <w:rPr>
          <w:rFonts w:hint="eastAsia"/>
          <w:sz w:val="21"/>
          <w:szCs w:val="21"/>
          <w:lang w:val="en-US" w:eastAsia="zh-CN"/>
        </w:rPr>
        <w:t xml:space="preserve"> 6 + MCL+60</w:t>
      </w:r>
    </w:p>
    <w:p w14:paraId="357E0ADB">
      <w:pPr>
        <w:snapToGrid w:val="0"/>
        <w:spacing w:after="120"/>
        <w:ind w:left="900" w:hanging="480"/>
        <w:jc w:val="both"/>
        <w:rPr>
          <w:rFonts w:hint="eastAsia"/>
          <w:sz w:val="21"/>
          <w:szCs w:val="21"/>
          <w:lang w:eastAsia="zh-CN"/>
        </w:rPr>
      </w:pPr>
      <w:r>
        <w:rPr>
          <w:rFonts w:hint="eastAsia"/>
          <w:sz w:val="21"/>
          <w:szCs w:val="21"/>
          <w:lang w:val="en-US" w:eastAsia="zh-CN"/>
        </w:rPr>
        <w:tab/>
      </w:r>
      <w:r>
        <w:rPr>
          <w:rFonts w:hint="eastAsia"/>
          <w:sz w:val="21"/>
          <w:szCs w:val="21"/>
          <w:lang w:val="en-US" w:eastAsia="zh-CN"/>
        </w:rPr>
        <w:t>&lt;</w:t>
      </w:r>
      <w:r>
        <w:rPr>
          <w:rFonts w:hint="eastAsia"/>
          <w:sz w:val="21"/>
          <w:szCs w:val="21"/>
          <w:lang w:eastAsia="zh-CN"/>
        </w:rPr>
        <w:t xml:space="preserve"> -115dBm/MHz + MCL</w:t>
      </w:r>
    </w:p>
    <w:p w14:paraId="63827DCA">
      <w:pPr>
        <w:snapToGrid w:val="0"/>
        <w:spacing w:after="120"/>
        <w:jc w:val="both"/>
        <w:rPr>
          <w:rFonts w:hint="eastAsia"/>
          <w:sz w:val="21"/>
          <w:szCs w:val="21"/>
          <w:lang w:eastAsia="zh-CN"/>
        </w:rPr>
      </w:pPr>
      <w:r>
        <w:rPr>
          <w:rFonts w:hint="eastAsia"/>
          <w:sz w:val="21"/>
          <w:szCs w:val="21"/>
          <w:lang w:eastAsia="zh-CN"/>
        </w:rPr>
        <w:t>Considering the worst case is that eNBs are co-</w:t>
      </w:r>
      <w:r>
        <w:rPr>
          <w:sz w:val="21"/>
          <w:szCs w:val="21"/>
          <w:lang w:eastAsia="zh-CN"/>
        </w:rPr>
        <w:t>located,</w:t>
      </w:r>
      <w:r>
        <w:rPr>
          <w:rFonts w:hint="eastAsia"/>
          <w:sz w:val="21"/>
          <w:szCs w:val="21"/>
          <w:lang w:eastAsia="zh-CN"/>
        </w:rPr>
        <w:t xml:space="preserve"> the minimum coupling loss(MCL) is assumed 30dB. The transmit OFF power is -85dBm/MHz.</w:t>
      </w:r>
    </w:p>
    <w:p w14:paraId="0F8F6013">
      <w:pPr>
        <w:keepNext w:val="0"/>
        <w:keepLines w:val="0"/>
        <w:pageBreakBefore w:val="0"/>
        <w:widowControl w:val="0"/>
        <w:kinsoku/>
        <w:wordWrap/>
        <w:overflowPunct/>
        <w:topLinePunct w:val="0"/>
        <w:autoSpaceDE/>
        <w:autoSpaceDN/>
        <w:bidi w:val="0"/>
        <w:adjustRightInd/>
        <w:snapToGrid w:val="0"/>
        <w:spacing w:after="120" w:line="260" w:lineRule="auto"/>
        <w:jc w:val="both"/>
        <w:textAlignment w:val="auto"/>
        <w:outlineLvl w:val="2"/>
        <w:rPr>
          <w:rFonts w:hint="default"/>
          <w:highlight w:val="yellow"/>
          <w:lang w:val="en-US" w:eastAsia="zh-CN"/>
        </w:rPr>
      </w:pPr>
      <w:r>
        <w:rPr>
          <w:rFonts w:hint="eastAsia"/>
          <w:sz w:val="21"/>
          <w:szCs w:val="21"/>
          <w:lang w:val="en-US" w:eastAsia="zh-CN"/>
        </w:rPr>
        <w:t>2.2.2.Co-location spurious emission requirement/</w:t>
      </w:r>
      <w:r>
        <w:rPr>
          <w:rFonts w:hint="default"/>
        </w:rPr>
        <w:t>Protection of the BS receiver of own or different BS</w:t>
      </w:r>
    </w:p>
    <w:p w14:paraId="24ACAB20">
      <w:pPr>
        <w:pStyle w:val="48"/>
        <w:numPr>
          <w:ilvl w:val="0"/>
          <w:numId w:val="7"/>
        </w:numPr>
        <w:bidi w:val="0"/>
        <w:ind w:left="420" w:leftChars="0" w:hanging="420" w:firstLineChars="0"/>
        <w:rPr>
          <w:rFonts w:hint="eastAsia"/>
          <w:vertAlign w:val="baseline"/>
          <w:lang w:val="en-US" w:eastAsia="zh-CN"/>
        </w:rPr>
      </w:pPr>
      <w:r>
        <w:rPr>
          <w:rFonts w:hint="eastAsia"/>
          <w:vertAlign w:val="baseline"/>
          <w:lang w:val="en-US" w:eastAsia="zh-CN"/>
        </w:rPr>
        <w:t>The Spurious Emission Level of WA BS should be:</w:t>
      </w:r>
    </w:p>
    <w:p w14:paraId="2BA6743A">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WA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WA  </w:t>
      </w:r>
      <w:r>
        <w:rPr>
          <w:rFonts w:hint="eastAsia"/>
          <w:vertAlign w:val="baseline"/>
          <w:lang w:val="en-US" w:eastAsia="zh-CN"/>
        </w:rPr>
        <w:t xml:space="preserve">+ 10*log10(100kHz) </w:t>
      </w:r>
      <w:r>
        <w:rPr>
          <w:rFonts w:hint="eastAsia" w:ascii="宋体" w:hAnsi="宋体" w:eastAsia="宋体" w:cs="宋体"/>
          <w:vertAlign w:val="baseline"/>
          <w:lang w:val="en-US" w:eastAsia="zh-CN"/>
        </w:rPr>
        <w:t>－</w:t>
      </w:r>
      <w:r>
        <w:rPr>
          <w:rFonts w:hint="eastAsia"/>
          <w:vertAlign w:val="baseline"/>
          <w:lang w:val="en-US" w:eastAsia="zh-CN"/>
        </w:rPr>
        <w:t>7dB + MCL</w:t>
      </w:r>
    </w:p>
    <w:p w14:paraId="11778AC8">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 -174dBm/Hz + 5dB + 50dB</w:t>
      </w:r>
      <w:r>
        <w:rPr>
          <w:rFonts w:hint="eastAsia" w:ascii="宋体" w:hAnsi="宋体" w:eastAsia="宋体" w:cs="宋体"/>
          <w:vertAlign w:val="baseline"/>
          <w:lang w:val="en-US" w:eastAsia="zh-CN"/>
        </w:rPr>
        <w:t>－</w:t>
      </w:r>
      <w:r>
        <w:rPr>
          <w:rFonts w:hint="eastAsia"/>
          <w:vertAlign w:val="baseline"/>
          <w:lang w:val="en-US" w:eastAsia="zh-CN"/>
        </w:rPr>
        <w:t>7dB + MCL</w:t>
      </w:r>
    </w:p>
    <w:p w14:paraId="3126C8D8">
      <w:pPr>
        <w:numPr>
          <w:ilvl w:val="0"/>
          <w:numId w:val="0"/>
        </w:numPr>
        <w:spacing w:after="180"/>
        <w:jc w:val="left"/>
        <w:rPr>
          <w:rFonts w:hint="eastAsia" w:eastAsia="Times New Roman" w:cs="Times New Roman"/>
          <w:vertAlign w:val="baseline"/>
          <w:lang w:val="en-US" w:eastAsia="zh-CN"/>
        </w:rPr>
      </w:pPr>
      <w:r>
        <w:rPr>
          <w:rFonts w:hint="eastAsia" w:eastAsia="Times New Roman" w:cs="Times New Roman"/>
          <w:vertAlign w:val="baseline"/>
          <w:lang w:val="en-US" w:eastAsia="zh-CN"/>
        </w:rPr>
        <w:t>Where :</w:t>
      </w:r>
    </w:p>
    <w:p w14:paraId="2D22DB47">
      <w:pPr>
        <w:keepNext w:val="0"/>
        <w:keepLines w:val="0"/>
        <w:pageBreakBefore w:val="0"/>
        <w:widowControl w:val="0"/>
        <w:numPr>
          <w:ilvl w:val="0"/>
          <w:numId w:val="8"/>
        </w:numPr>
        <w:kinsoku/>
        <w:wordWrap/>
        <w:overflowPunct/>
        <w:topLinePunct w:val="0"/>
        <w:autoSpaceDE/>
        <w:autoSpaceDN/>
        <w:bidi w:val="0"/>
        <w:adjustRightInd/>
        <w:snapToGrid/>
        <w:ind w:left="0" w:leftChars="0" w:firstLine="0" w:firstLineChars="0"/>
        <w:jc w:val="left"/>
        <w:textAlignment w:val="auto"/>
        <w:rPr>
          <w:rFonts w:hint="default"/>
          <w:lang w:val="en-US" w:eastAsia="zh-CN"/>
        </w:rPr>
      </w:pPr>
      <w:r>
        <w:rPr>
          <w:rFonts w:hint="eastAsia"/>
          <w:lang w:val="en-US" w:eastAsia="zh-CN"/>
        </w:rPr>
        <w:t xml:space="preserve">MCL refer to the minimum coupling loss which is 30dB in the past for 3GPP. </w:t>
      </w:r>
    </w:p>
    <w:p w14:paraId="687D703D">
      <w:pPr>
        <w:keepNext w:val="0"/>
        <w:keepLines w:val="0"/>
        <w:pageBreakBefore w:val="0"/>
        <w:widowControl w:val="0"/>
        <w:numPr>
          <w:ilvl w:val="0"/>
          <w:numId w:val="8"/>
        </w:numPr>
        <w:kinsoku/>
        <w:wordWrap/>
        <w:overflowPunct/>
        <w:topLinePunct w:val="0"/>
        <w:autoSpaceDE/>
        <w:autoSpaceDN/>
        <w:bidi w:val="0"/>
        <w:adjustRightInd/>
        <w:snapToGrid/>
        <w:ind w:left="0" w:leftChars="0" w:firstLine="0" w:firstLineChars="0"/>
        <w:jc w:val="left"/>
        <w:textAlignment w:val="auto"/>
        <w:rPr>
          <w:rFonts w:hint="default"/>
          <w:lang w:val="en-US" w:eastAsia="zh-CN"/>
        </w:rPr>
      </w:pPr>
      <w:r>
        <w:rPr>
          <w:rFonts w:hint="eastAsia"/>
          <w:lang w:val="en-US" w:eastAsia="zh-CN"/>
        </w:rPr>
        <w:t xml:space="preserve">The BS of different classes will have different Noise figures. Generally, in most 3GPP spec, we assume that   the WA NF = 5dB, MR NF = 10dB, and LA NF = 13dB. </w:t>
      </w:r>
    </w:p>
    <w:p w14:paraId="0CB0A77A">
      <w:pPr>
        <w:keepNext w:val="0"/>
        <w:keepLines w:val="0"/>
        <w:pageBreakBefore w:val="0"/>
        <w:widowControl w:val="0"/>
        <w:kinsoku/>
        <w:wordWrap/>
        <w:overflowPunct/>
        <w:topLinePunct w:val="0"/>
        <w:autoSpaceDE/>
        <w:autoSpaceDN/>
        <w:bidi w:val="0"/>
        <w:adjustRightInd/>
        <w:snapToGrid w:val="0"/>
        <w:spacing w:after="120" w:line="260" w:lineRule="auto"/>
        <w:jc w:val="both"/>
        <w:textAlignment w:val="auto"/>
        <w:outlineLvl w:val="2"/>
        <w:rPr>
          <w:rFonts w:hint="eastAsia"/>
          <w:sz w:val="21"/>
          <w:szCs w:val="21"/>
          <w:lang w:val="en-US" w:eastAsia="zh-CN"/>
        </w:rPr>
      </w:pPr>
      <w:r>
        <w:rPr>
          <w:rFonts w:hint="eastAsia"/>
          <w:sz w:val="21"/>
          <w:szCs w:val="21"/>
          <w:lang w:val="en-US" w:eastAsia="zh-CN"/>
        </w:rPr>
        <w:t>2.2.3.Tx IMD requirement</w:t>
      </w:r>
    </w:p>
    <w:p w14:paraId="0429F654">
      <w:pPr>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rPr>
          <w:rFonts w:hint="default"/>
          <w:sz w:val="21"/>
          <w:szCs w:val="21"/>
          <w:lang w:val="en-US" w:eastAsia="zh-CN"/>
        </w:rPr>
      </w:pPr>
      <w:r>
        <w:rPr>
          <w:rFonts w:hint="eastAsia"/>
          <w:sz w:val="21"/>
          <w:szCs w:val="21"/>
          <w:lang w:val="en-US" w:eastAsia="zh-CN"/>
        </w:rPr>
        <w:t xml:space="preserve">Interfering signal level is equal to </w:t>
      </w:r>
      <w:r>
        <w:rPr>
          <w:rFonts w:hint="default"/>
          <w:i/>
        </w:rPr>
        <w:t>Rated total output power</w:t>
      </w:r>
      <w:r>
        <w:rPr>
          <w:rFonts w:hint="default"/>
        </w:rPr>
        <w:t xml:space="preserve"> (</w:t>
      </w:r>
      <w:r>
        <w:rPr>
          <w:rFonts w:hint="default"/>
          <w:lang w:eastAsia="zh-CN"/>
        </w:rPr>
        <w:t>P</w:t>
      </w:r>
      <w:r>
        <w:rPr>
          <w:rFonts w:hint="default"/>
          <w:vertAlign w:val="subscript"/>
          <w:lang w:eastAsia="zh-CN"/>
        </w:rPr>
        <w:t>rated,t,AC</w:t>
      </w:r>
      <w:r>
        <w:rPr>
          <w:rFonts w:hint="default"/>
        </w:rPr>
        <w:t xml:space="preserve">) in the </w:t>
      </w:r>
      <w:r>
        <w:rPr>
          <w:rFonts w:hint="default"/>
          <w:i/>
        </w:rPr>
        <w:t>operating band</w:t>
      </w:r>
      <w:r>
        <w:rPr>
          <w:rFonts w:hint="default"/>
        </w:rPr>
        <w:t xml:space="preserve"> – 30 dB</w:t>
      </w:r>
      <w:r>
        <w:rPr>
          <w:rFonts w:hint="eastAsia"/>
          <w:lang w:val="en-US" w:eastAsia="zh-CN"/>
        </w:rPr>
        <w:t xml:space="preserve"> where</w:t>
      </w:r>
      <w:r>
        <w:rPr>
          <w:rFonts w:hint="eastAsia"/>
          <w:sz w:val="21"/>
          <w:szCs w:val="21"/>
          <w:lang w:val="en-US" w:eastAsia="zh-CN"/>
        </w:rPr>
        <w:t xml:space="preserve"> </w:t>
      </w:r>
      <w:r>
        <w:rPr>
          <w:rFonts w:hint="eastAsia"/>
          <w:lang w:val="en-US" w:eastAsia="zh-CN"/>
        </w:rPr>
        <w:t>MCL refer to the minimum coupling loss which is 30dB in the past for 3GPP.</w:t>
      </w:r>
    </w:p>
    <w:p w14:paraId="72F4788A">
      <w:pPr>
        <w:pStyle w:val="47"/>
        <w:rPr>
          <w:rFonts w:eastAsia="宋体"/>
          <w:lang w:eastAsia="zh-CN"/>
        </w:rPr>
      </w:pPr>
      <w:r>
        <w:t xml:space="preserve">Table </w:t>
      </w:r>
      <w:r>
        <w:rPr>
          <w:rFonts w:eastAsia="宋体"/>
          <w:lang w:eastAsia="zh-CN"/>
        </w:rPr>
        <w:t>6.7.2.1-1</w:t>
      </w:r>
      <w:r>
        <w:t>: Interfering and wanted signals for the co-location transmitter intermodulation requirement</w:t>
      </w:r>
    </w:p>
    <w:tbl>
      <w:tblPr>
        <w:tblStyle w:val="25"/>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29"/>
        <w:gridCol w:w="3781"/>
      </w:tblGrid>
      <w:tr w14:paraId="7B694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629" w:type="dxa"/>
            <w:shd w:val="clear" w:color="auto" w:fill="auto"/>
          </w:tcPr>
          <w:p w14:paraId="773F26AF">
            <w:pPr>
              <w:pStyle w:val="37"/>
              <w:suppressLineNumbers w:val="0"/>
              <w:spacing w:before="0" w:beforeAutospacing="0" w:afterAutospacing="0"/>
              <w:ind w:left="0" w:right="0"/>
              <w:rPr>
                <w:rFonts w:hint="default"/>
              </w:rPr>
            </w:pPr>
            <w:r>
              <w:rPr>
                <w:rFonts w:hint="default"/>
              </w:rPr>
              <w:t>Parameter</w:t>
            </w:r>
          </w:p>
        </w:tc>
        <w:tc>
          <w:tcPr>
            <w:tcW w:w="3781" w:type="dxa"/>
            <w:shd w:val="clear" w:color="auto" w:fill="auto"/>
          </w:tcPr>
          <w:p w14:paraId="17F49A97">
            <w:pPr>
              <w:pStyle w:val="37"/>
              <w:suppressLineNumbers w:val="0"/>
              <w:spacing w:before="0" w:beforeAutospacing="0" w:afterAutospacing="0"/>
              <w:ind w:left="0" w:right="0"/>
              <w:rPr>
                <w:rFonts w:hint="default"/>
              </w:rPr>
            </w:pPr>
            <w:r>
              <w:rPr>
                <w:rFonts w:hint="default"/>
              </w:rPr>
              <w:t>Value</w:t>
            </w:r>
          </w:p>
        </w:tc>
      </w:tr>
      <w:tr w14:paraId="2CED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14:paraId="19AFB6DD">
            <w:pPr>
              <w:pStyle w:val="39"/>
              <w:suppressLineNumbers w:val="0"/>
              <w:spacing w:before="0" w:beforeAutospacing="0" w:afterAutospacing="0"/>
              <w:ind w:left="0" w:right="0"/>
              <w:rPr>
                <w:rFonts w:hint="default"/>
                <w:szCs w:val="18"/>
              </w:rPr>
            </w:pPr>
            <w:r>
              <w:rPr>
                <w:rFonts w:hint="default"/>
                <w:szCs w:val="18"/>
              </w:rPr>
              <w:t>Wanted signal type</w:t>
            </w:r>
          </w:p>
        </w:tc>
        <w:tc>
          <w:tcPr>
            <w:tcW w:w="3781" w:type="dxa"/>
            <w:shd w:val="clear" w:color="auto" w:fill="auto"/>
          </w:tcPr>
          <w:p w14:paraId="5936492C">
            <w:pPr>
              <w:pStyle w:val="39"/>
              <w:suppressLineNumbers w:val="0"/>
              <w:spacing w:before="0" w:beforeAutospacing="0" w:afterAutospacing="0"/>
              <w:ind w:left="0" w:right="0"/>
              <w:rPr>
                <w:rFonts w:hint="default"/>
                <w:szCs w:val="18"/>
                <w:lang w:eastAsia="zh-CN"/>
              </w:rPr>
            </w:pPr>
            <w:r>
              <w:rPr>
                <w:rFonts w:hint="default"/>
                <w:szCs w:val="18"/>
                <w:lang w:eastAsia="zh-CN"/>
              </w:rPr>
              <w:t>NR single carrier</w:t>
            </w:r>
            <w:r>
              <w:rPr>
                <w:rFonts w:hint="default"/>
                <w:lang w:val="en-US" w:eastAsia="zh-CN"/>
              </w:rPr>
              <w:t xml:space="preserve">, </w:t>
            </w:r>
            <w:r>
              <w:rPr>
                <w:rFonts w:hint="default" w:cs="Arial"/>
              </w:rPr>
              <w:t>or multi-carrier, or multiple intra-band contiguously or non-contiguously aggregated carriers, with NB-IoT operation in NR in-band if supported.</w:t>
            </w:r>
          </w:p>
        </w:tc>
      </w:tr>
      <w:tr w14:paraId="19E76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14:paraId="4660DAED">
            <w:pPr>
              <w:pStyle w:val="39"/>
              <w:suppressLineNumbers w:val="0"/>
              <w:spacing w:before="0" w:beforeAutospacing="0" w:afterAutospacing="0"/>
              <w:ind w:left="0" w:right="0"/>
              <w:rPr>
                <w:rFonts w:hint="default"/>
                <w:szCs w:val="18"/>
                <w:lang w:eastAsia="zh-CN"/>
              </w:rPr>
            </w:pPr>
            <w:r>
              <w:rPr>
                <w:rFonts w:hint="default"/>
                <w:szCs w:val="18"/>
              </w:rPr>
              <w:t>Interfering signal type</w:t>
            </w:r>
          </w:p>
        </w:tc>
        <w:tc>
          <w:tcPr>
            <w:tcW w:w="3781" w:type="dxa"/>
            <w:shd w:val="clear" w:color="auto" w:fill="auto"/>
          </w:tcPr>
          <w:p w14:paraId="5071392C">
            <w:pPr>
              <w:pStyle w:val="39"/>
              <w:suppressLineNumbers w:val="0"/>
              <w:spacing w:before="0" w:beforeAutospacing="0" w:afterAutospacing="0"/>
              <w:ind w:left="0" w:right="0"/>
              <w:rPr>
                <w:rFonts w:hint="default"/>
                <w:szCs w:val="18"/>
                <w:lang w:eastAsia="zh-CN"/>
              </w:rPr>
            </w:pPr>
            <w:r>
              <w:rPr>
                <w:rFonts w:hint="default"/>
                <w:szCs w:val="18"/>
                <w:lang w:eastAsia="zh-CN"/>
              </w:rPr>
              <w:t xml:space="preserve">NR </w:t>
            </w:r>
            <w:r>
              <w:rPr>
                <w:rFonts w:hint="default"/>
                <w:szCs w:val="18"/>
              </w:rPr>
              <w:t>signal</w:t>
            </w:r>
            <w:r>
              <w:rPr>
                <w:rFonts w:hint="default"/>
                <w:szCs w:val="18"/>
                <w:lang w:eastAsia="zh-CN"/>
              </w:rPr>
              <w:t>,</w:t>
            </w:r>
            <w:r>
              <w:rPr>
                <w:rFonts w:hint="default"/>
                <w:szCs w:val="18"/>
              </w:rPr>
              <w:t xml:space="preserve"> </w:t>
            </w:r>
            <w:r>
              <w:rPr>
                <w:rFonts w:hint="default"/>
                <w:szCs w:val="18"/>
                <w:lang w:eastAsia="zh-CN"/>
              </w:rPr>
              <w:t xml:space="preserve">the minimum </w:t>
            </w:r>
            <w:r>
              <w:rPr>
                <w:rFonts w:hint="default"/>
                <w:i/>
                <w:szCs w:val="18"/>
                <w:lang w:eastAsia="zh-CN"/>
              </w:rPr>
              <w:t>BS channel bandwidth</w:t>
            </w:r>
            <w:r>
              <w:rPr>
                <w:rFonts w:hint="default"/>
                <w:szCs w:val="18"/>
                <w:lang w:eastAsia="zh-CN"/>
              </w:rPr>
              <w:t xml:space="preserve"> (BW</w:t>
            </w:r>
            <w:r>
              <w:rPr>
                <w:rFonts w:hint="default"/>
                <w:szCs w:val="18"/>
                <w:vertAlign w:val="subscript"/>
                <w:lang w:eastAsia="zh-CN"/>
              </w:rPr>
              <w:t>Channel</w:t>
            </w:r>
            <w:r>
              <w:rPr>
                <w:rFonts w:hint="default"/>
                <w:szCs w:val="18"/>
                <w:lang w:eastAsia="zh-CN"/>
              </w:rPr>
              <w:t xml:space="preserve">) with 15 kHz SCS </w:t>
            </w:r>
            <w:r>
              <w:rPr>
                <w:rFonts w:hint="default"/>
                <w:szCs w:val="18"/>
              </w:rPr>
              <w:t xml:space="preserve">of </w:t>
            </w:r>
            <w:r>
              <w:rPr>
                <w:rFonts w:hint="default"/>
                <w:szCs w:val="18"/>
                <w:lang w:eastAsia="zh-CN"/>
              </w:rPr>
              <w:t xml:space="preserve">the band defined in clause 5.3.5.  </w:t>
            </w:r>
          </w:p>
        </w:tc>
      </w:tr>
      <w:tr w14:paraId="1C57F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14:paraId="2BB7EAC0">
            <w:pPr>
              <w:pStyle w:val="39"/>
              <w:suppressLineNumbers w:val="0"/>
              <w:spacing w:before="0" w:beforeAutospacing="0" w:afterAutospacing="0"/>
              <w:ind w:left="0" w:right="0"/>
              <w:rPr>
                <w:rFonts w:hint="default"/>
                <w:szCs w:val="18"/>
              </w:rPr>
            </w:pPr>
            <w:r>
              <w:rPr>
                <w:rFonts w:hint="default"/>
                <w:szCs w:val="18"/>
              </w:rPr>
              <w:t>Interfering signal level</w:t>
            </w:r>
          </w:p>
        </w:tc>
        <w:tc>
          <w:tcPr>
            <w:tcW w:w="3781" w:type="dxa"/>
            <w:shd w:val="clear" w:color="auto" w:fill="auto"/>
          </w:tcPr>
          <w:p w14:paraId="5DD99D81">
            <w:pPr>
              <w:pStyle w:val="39"/>
              <w:suppressLineNumbers w:val="0"/>
              <w:spacing w:before="0" w:beforeAutospacing="0" w:afterAutospacing="0"/>
              <w:ind w:left="0" w:right="0"/>
              <w:rPr>
                <w:rFonts w:hint="default"/>
                <w:szCs w:val="18"/>
              </w:rPr>
            </w:pPr>
            <w:r>
              <w:rPr>
                <w:rFonts w:hint="default"/>
                <w:i/>
              </w:rPr>
              <w:t>Rated total output power</w:t>
            </w:r>
            <w:r>
              <w:rPr>
                <w:rFonts w:hint="default"/>
              </w:rPr>
              <w:t xml:space="preserve"> (</w:t>
            </w:r>
            <w:r>
              <w:rPr>
                <w:rFonts w:hint="default"/>
                <w:lang w:eastAsia="zh-CN"/>
              </w:rPr>
              <w:t>P</w:t>
            </w:r>
            <w:r>
              <w:rPr>
                <w:rFonts w:hint="default"/>
                <w:vertAlign w:val="subscript"/>
                <w:lang w:eastAsia="zh-CN"/>
              </w:rPr>
              <w:t>rated,t,AC</w:t>
            </w:r>
            <w:r>
              <w:rPr>
                <w:rFonts w:hint="default"/>
              </w:rPr>
              <w:t xml:space="preserve">) in the </w:t>
            </w:r>
            <w:r>
              <w:rPr>
                <w:rFonts w:hint="default"/>
                <w:i/>
              </w:rPr>
              <w:t>operating band</w:t>
            </w:r>
            <w:r>
              <w:rPr>
                <w:rFonts w:hint="default"/>
              </w:rPr>
              <w:t xml:space="preserve"> – 30 dB</w:t>
            </w:r>
          </w:p>
        </w:tc>
      </w:tr>
      <w:tr w14:paraId="5546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14:paraId="291930B2">
            <w:pPr>
              <w:pStyle w:val="39"/>
              <w:suppressLineNumbers w:val="0"/>
              <w:spacing w:before="0" w:beforeAutospacing="0" w:afterAutospacing="0"/>
              <w:ind w:left="0" w:right="0"/>
              <w:rPr>
                <w:rFonts w:hint="default"/>
                <w:szCs w:val="18"/>
                <w:lang w:eastAsia="zh-CN"/>
              </w:rPr>
            </w:pPr>
            <w:r>
              <w:rPr>
                <w:rFonts w:hint="default"/>
                <w:szCs w:val="18"/>
              </w:rPr>
              <w:t xml:space="preserve">Interfering signal centre frequency offset from </w:t>
            </w:r>
            <w:r>
              <w:rPr>
                <w:rFonts w:hint="default"/>
                <w:szCs w:val="18"/>
                <w:lang w:eastAsia="zh-CN"/>
              </w:rPr>
              <w:t xml:space="preserve">the </w:t>
            </w:r>
            <w:r>
              <w:rPr>
                <w:rFonts w:hint="default"/>
                <w:szCs w:val="18"/>
              </w:rPr>
              <w:t>lower/upper edge of the wanted signal</w:t>
            </w:r>
            <w:r>
              <w:rPr>
                <w:rFonts w:hint="default" w:cs="Arial"/>
              </w:rPr>
              <w:t xml:space="preserve"> or edge of </w:t>
            </w:r>
            <w:r>
              <w:rPr>
                <w:rFonts w:hint="default" w:cs="Arial"/>
                <w:i/>
              </w:rPr>
              <w:t>sub-block</w:t>
            </w:r>
            <w:r>
              <w:rPr>
                <w:rFonts w:hint="default" w:cs="Arial"/>
              </w:rPr>
              <w:t xml:space="preserve"> inside a </w:t>
            </w:r>
            <w:r>
              <w:rPr>
                <w:rFonts w:hint="default" w:cs="Arial"/>
                <w:i/>
              </w:rPr>
              <w:t>sub-block gap</w:t>
            </w:r>
          </w:p>
        </w:tc>
        <w:tc>
          <w:tcPr>
            <w:tcW w:w="3781" w:type="dxa"/>
            <w:shd w:val="clear" w:color="auto" w:fill="auto"/>
          </w:tcPr>
          <w:p w14:paraId="53565382">
            <w:pPr>
              <w:pStyle w:val="39"/>
              <w:suppressLineNumbers w:val="0"/>
              <w:spacing w:before="0" w:beforeAutospacing="0" w:afterAutospacing="0"/>
              <w:ind w:left="0" w:right="0"/>
              <w:rPr>
                <w:rFonts w:hint="default"/>
                <w:szCs w:val="18"/>
                <w:lang w:eastAsia="zh-CN"/>
              </w:rPr>
            </w:pPr>
            <w:r>
              <w:rPr>
                <w:rFonts w:hint="default"/>
                <w:position w:val="-28"/>
              </w:rPr>
              <w:object>
                <v:shape id="_x0000_i1025" o:spt="75" type="#_x0000_t75" style="height:29.25pt;width:101.2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rPr>
                <w:rFonts w:hint="default"/>
              </w:rPr>
              <w:t>, for n=1, 2 and 3</w:t>
            </w:r>
            <w:r>
              <w:rPr>
                <w:rFonts w:hint="default"/>
                <w:szCs w:val="18"/>
              </w:rPr>
              <w:t xml:space="preserve"> </w:t>
            </w:r>
          </w:p>
        </w:tc>
      </w:tr>
      <w:tr w14:paraId="780A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10" w:type="dxa"/>
            <w:gridSpan w:val="2"/>
            <w:shd w:val="clear" w:color="auto" w:fill="auto"/>
          </w:tcPr>
          <w:p w14:paraId="04221D44">
            <w:pPr>
              <w:pStyle w:val="50"/>
              <w:suppressLineNumbers w:val="0"/>
              <w:spacing w:before="0" w:beforeAutospacing="0" w:afterAutospacing="0"/>
              <w:ind w:right="0"/>
              <w:rPr>
                <w:rFonts w:hint="default"/>
                <w:lang w:eastAsia="ja-JP"/>
              </w:rPr>
            </w:pPr>
            <w:r>
              <w:rPr>
                <w:rFonts w:hint="default"/>
              </w:rPr>
              <w:t>NOTE 1</w:t>
            </w:r>
            <w:r>
              <w:rPr>
                <w:rFonts w:hint="default"/>
                <w:lang w:eastAsia="ja-JP"/>
              </w:rPr>
              <w:t>:</w:t>
            </w:r>
            <w:r>
              <w:rPr>
                <w:rFonts w:hint="default"/>
              </w:rPr>
              <w:tab/>
            </w:r>
            <w:r>
              <w:rPr>
                <w:rFonts w:hint="default"/>
                <w:lang w:eastAsia="zh-CN"/>
              </w:rPr>
              <w:t xml:space="preserve">Interfering signal positions that are partially or completely outside of any downlink </w:t>
            </w:r>
            <w:r>
              <w:rPr>
                <w:rFonts w:hint="default"/>
                <w:i/>
                <w:lang w:eastAsia="zh-CN"/>
              </w:rPr>
              <w:t>operating band</w:t>
            </w:r>
            <w:r>
              <w:rPr>
                <w:rFonts w:hint="default"/>
                <w:lang w:eastAsia="zh-CN"/>
              </w:rPr>
              <w:t xml:space="preserve"> of the base station are excluded from the requirement, unless the interfering signal positions fall within the frequency range of adjacent downlink </w:t>
            </w:r>
            <w:r>
              <w:rPr>
                <w:rFonts w:hint="default"/>
                <w:i/>
                <w:lang w:eastAsia="zh-CN"/>
              </w:rPr>
              <w:t>operating bands</w:t>
            </w:r>
            <w:r>
              <w:rPr>
                <w:rFonts w:hint="default"/>
                <w:lang w:eastAsia="zh-CN"/>
              </w:rPr>
              <w:t xml:space="preserve"> in the same geographical area. In case that none of the interfering signal positions fall completely within the frequency range of the downlink </w:t>
            </w:r>
            <w:r>
              <w:rPr>
                <w:rFonts w:hint="default"/>
                <w:i/>
                <w:lang w:eastAsia="zh-CN"/>
              </w:rPr>
              <w:t>operating band</w:t>
            </w:r>
            <w:r>
              <w:rPr>
                <w:rFonts w:hint="default"/>
                <w:lang w:eastAsia="zh-CN"/>
              </w:rPr>
              <w:t>, TS 38.141-1 [5] provides further guidance regarding appropriate test requirements.</w:t>
            </w:r>
            <w:r>
              <w:rPr>
                <w:rFonts w:hint="default"/>
                <w:lang w:eastAsia="ja-JP"/>
              </w:rPr>
              <w:t xml:space="preserve"> </w:t>
            </w:r>
          </w:p>
          <w:p w14:paraId="5B8CD161">
            <w:pPr>
              <w:pStyle w:val="50"/>
              <w:suppressLineNumbers w:val="0"/>
              <w:spacing w:before="0" w:beforeAutospacing="0" w:afterAutospacing="0"/>
              <w:ind w:right="0"/>
              <w:rPr>
                <w:rFonts w:hint="default"/>
                <w:lang w:eastAsia="zh-CN"/>
              </w:rPr>
            </w:pPr>
            <w:r>
              <w:rPr>
                <w:rFonts w:hint="default" w:cs="Arial"/>
              </w:rPr>
              <w:t>NOTE</w:t>
            </w:r>
            <w:r>
              <w:rPr>
                <w:rFonts w:hint="default" w:cs="Arial"/>
                <w:lang w:eastAsia="ja-JP"/>
              </w:rPr>
              <w:t xml:space="preserve"> </w:t>
            </w:r>
            <w:r>
              <w:rPr>
                <w:rFonts w:hint="default" w:cs="Arial"/>
              </w:rPr>
              <w:t>2:</w:t>
            </w:r>
            <w:r>
              <w:rPr>
                <w:rFonts w:hint="default" w:cs="Arial"/>
              </w:rPr>
              <w:tab/>
            </w:r>
            <w:r>
              <w:rPr>
                <w:rFonts w:hint="default" w:cs="Arial"/>
              </w:rPr>
              <w:t>In Japan, NOTE</w:t>
            </w:r>
            <w:r>
              <w:rPr>
                <w:rFonts w:hint="default" w:cs="Arial"/>
                <w:lang w:eastAsia="ja-JP"/>
              </w:rPr>
              <w:t xml:space="preserve"> </w:t>
            </w:r>
            <w:r>
              <w:rPr>
                <w:rFonts w:hint="default" w:cs="Arial"/>
              </w:rPr>
              <w:t xml:space="preserve">1 is not applied in Band </w:t>
            </w:r>
            <w:r>
              <w:rPr>
                <w:rFonts w:hint="default" w:cs="Arial"/>
                <w:lang w:eastAsia="ja-JP"/>
              </w:rPr>
              <w:t>n77, n78, n79</w:t>
            </w:r>
            <w:r>
              <w:rPr>
                <w:rFonts w:hint="default" w:cs="Arial"/>
              </w:rPr>
              <w:t>.</w:t>
            </w:r>
          </w:p>
        </w:tc>
      </w:tr>
    </w:tbl>
    <w:p w14:paraId="48BD727A">
      <w:pPr>
        <w:tabs>
          <w:tab w:val="left" w:pos="2127"/>
        </w:tabs>
        <w:spacing w:after="0"/>
        <w:rPr>
          <w:rFonts w:hint="default"/>
          <w:highlight w:val="yellow"/>
          <w:lang w:val="en-US" w:eastAsia="zh-CN"/>
        </w:rPr>
      </w:pPr>
    </w:p>
    <w:p w14:paraId="0D9AC93F">
      <w:pPr>
        <w:rPr>
          <w:lang w:eastAsia="zh-CN"/>
        </w:rPr>
      </w:pPr>
    </w:p>
    <w:p w14:paraId="6C04AB6E">
      <w:pPr>
        <w:keepNext w:val="0"/>
        <w:keepLines w:val="0"/>
        <w:pageBreakBefore w:val="0"/>
        <w:widowControl w:val="0"/>
        <w:kinsoku/>
        <w:wordWrap/>
        <w:overflowPunct/>
        <w:topLinePunct w:val="0"/>
        <w:autoSpaceDE/>
        <w:autoSpaceDN/>
        <w:bidi w:val="0"/>
        <w:adjustRightInd/>
        <w:snapToGrid w:val="0"/>
        <w:spacing w:after="120" w:line="260" w:lineRule="auto"/>
        <w:jc w:val="both"/>
        <w:textAlignment w:val="auto"/>
        <w:outlineLvl w:val="2"/>
        <w:rPr>
          <w:rFonts w:hint="default"/>
          <w:lang w:val="en-US" w:eastAsia="zh-CN"/>
        </w:rPr>
      </w:pPr>
      <w:r>
        <w:rPr>
          <w:rFonts w:hint="eastAsia"/>
          <w:sz w:val="21"/>
          <w:szCs w:val="21"/>
          <w:lang w:val="en-US" w:eastAsia="zh-CN"/>
        </w:rPr>
        <w:t>2.2.4.Co-located OOBB requirement</w:t>
      </w:r>
    </w:p>
    <w:p w14:paraId="730FABF7">
      <w:pPr>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rPr>
          <w:rFonts w:hint="eastAsia"/>
          <w:sz w:val="21"/>
          <w:szCs w:val="21"/>
          <w:lang w:val="en-US" w:eastAsia="zh-CN"/>
        </w:rPr>
      </w:pPr>
      <w:r>
        <w:rPr>
          <w:rFonts w:hint="eastAsia"/>
          <w:sz w:val="21"/>
          <w:szCs w:val="21"/>
          <w:lang w:val="en-US" w:eastAsia="zh-CN"/>
        </w:rPr>
        <w:t>Interfering signal level for WA, MR and LA is based on the following calculation assumption:</w:t>
      </w:r>
    </w:p>
    <w:p w14:paraId="5C56A6B2">
      <w:pPr>
        <w:keepNext w:val="0"/>
        <w:keepLines w:val="0"/>
        <w:pageBreakBefore w:val="0"/>
        <w:widowControl w:val="0"/>
        <w:numPr>
          <w:ilvl w:val="0"/>
          <w:numId w:val="9"/>
        </w:numPr>
        <w:kinsoku/>
        <w:wordWrap/>
        <w:overflowPunct/>
        <w:topLinePunct w:val="0"/>
        <w:autoSpaceDE/>
        <w:autoSpaceDN/>
        <w:bidi w:val="0"/>
        <w:adjustRightInd/>
        <w:snapToGrid/>
        <w:ind w:leftChars="0"/>
        <w:jc w:val="left"/>
        <w:textAlignment w:val="auto"/>
        <w:rPr>
          <w:rFonts w:hint="default"/>
          <w:sz w:val="21"/>
          <w:szCs w:val="21"/>
          <w:lang w:val="en-US" w:eastAsia="zh-CN"/>
        </w:rPr>
      </w:pPr>
      <w:r>
        <w:rPr>
          <w:rFonts w:hint="eastAsia"/>
          <w:sz w:val="21"/>
          <w:szCs w:val="21"/>
          <w:lang w:val="en-US" w:eastAsia="zh-CN"/>
        </w:rPr>
        <w:t>46dBm-MCL;</w:t>
      </w:r>
    </w:p>
    <w:p w14:paraId="24431E6A">
      <w:pPr>
        <w:keepNext w:val="0"/>
        <w:keepLines w:val="0"/>
        <w:pageBreakBefore w:val="0"/>
        <w:widowControl w:val="0"/>
        <w:numPr>
          <w:ilvl w:val="0"/>
          <w:numId w:val="9"/>
        </w:numPr>
        <w:kinsoku/>
        <w:wordWrap/>
        <w:overflowPunct/>
        <w:topLinePunct w:val="0"/>
        <w:autoSpaceDE/>
        <w:autoSpaceDN/>
        <w:bidi w:val="0"/>
        <w:adjustRightInd/>
        <w:snapToGrid/>
        <w:ind w:leftChars="0"/>
        <w:jc w:val="left"/>
        <w:textAlignment w:val="auto"/>
        <w:rPr>
          <w:rFonts w:hint="default"/>
          <w:sz w:val="21"/>
          <w:szCs w:val="21"/>
          <w:lang w:val="en-US" w:eastAsia="zh-CN"/>
        </w:rPr>
      </w:pPr>
      <w:r>
        <w:rPr>
          <w:rFonts w:hint="eastAsia"/>
          <w:sz w:val="21"/>
          <w:szCs w:val="21"/>
          <w:lang w:val="en-US" w:eastAsia="zh-CN"/>
        </w:rPr>
        <w:t>38dBm-MCL;</w:t>
      </w:r>
    </w:p>
    <w:p w14:paraId="2DF19478">
      <w:pPr>
        <w:keepNext w:val="0"/>
        <w:keepLines w:val="0"/>
        <w:pageBreakBefore w:val="0"/>
        <w:widowControl w:val="0"/>
        <w:numPr>
          <w:ilvl w:val="0"/>
          <w:numId w:val="9"/>
        </w:numPr>
        <w:kinsoku/>
        <w:wordWrap/>
        <w:overflowPunct/>
        <w:topLinePunct w:val="0"/>
        <w:autoSpaceDE/>
        <w:autoSpaceDN/>
        <w:bidi w:val="0"/>
        <w:adjustRightInd/>
        <w:snapToGrid/>
        <w:ind w:leftChars="0"/>
        <w:jc w:val="left"/>
        <w:textAlignment w:val="auto"/>
        <w:rPr>
          <w:rFonts w:hint="default"/>
          <w:sz w:val="21"/>
          <w:szCs w:val="21"/>
          <w:lang w:val="en-US" w:eastAsia="zh-CN"/>
        </w:rPr>
      </w:pPr>
      <w:r>
        <w:rPr>
          <w:rFonts w:hint="eastAsia"/>
          <w:sz w:val="21"/>
          <w:szCs w:val="21"/>
          <w:lang w:val="en-US" w:eastAsia="zh-CN"/>
        </w:rPr>
        <w:t>24dBm-MCL;</w:t>
      </w:r>
    </w:p>
    <w:p w14:paraId="46E63878">
      <w:pPr>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rPr>
          <w:rFonts w:eastAsia="宋体"/>
          <w:i/>
          <w:lang w:val="en-US" w:eastAsia="zh-CN"/>
        </w:rPr>
      </w:pPr>
      <w:r>
        <w:rPr>
          <w:rFonts w:hint="eastAsia"/>
          <w:lang w:val="en-US" w:eastAsia="zh-CN"/>
        </w:rPr>
        <w:t>Where</w:t>
      </w:r>
      <w:r>
        <w:rPr>
          <w:rFonts w:hint="eastAsia"/>
          <w:sz w:val="21"/>
          <w:szCs w:val="21"/>
          <w:lang w:val="en-US" w:eastAsia="zh-CN"/>
        </w:rPr>
        <w:t xml:space="preserve"> </w:t>
      </w:r>
      <w:r>
        <w:rPr>
          <w:rFonts w:hint="eastAsia"/>
          <w:lang w:val="en-US" w:eastAsia="zh-CN"/>
        </w:rPr>
        <w:t>MCL refer to the minimum coupling loss which is 30dB in the past for 3GPP.</w:t>
      </w:r>
    </w:p>
    <w:p w14:paraId="61FF59F1">
      <w:pPr>
        <w:pStyle w:val="47"/>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25"/>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14:paraId="4880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10" w:type="dxa"/>
          </w:tcPr>
          <w:p w14:paraId="3901ECC1">
            <w:pPr>
              <w:pStyle w:val="37"/>
              <w:suppressLineNumbers w:val="0"/>
              <w:spacing w:before="0" w:beforeAutospacing="0" w:afterAutospacing="0"/>
              <w:ind w:left="0" w:right="0"/>
              <w:rPr>
                <w:rFonts w:hint="default"/>
                <w:lang w:eastAsia="ja-JP"/>
              </w:rPr>
            </w:pPr>
            <w:r>
              <w:rPr>
                <w:rFonts w:hint="default"/>
                <w:lang w:eastAsia="ja-JP"/>
              </w:rPr>
              <w:t>Frequency range of interfering signal</w:t>
            </w:r>
          </w:p>
        </w:tc>
        <w:tc>
          <w:tcPr>
            <w:tcW w:w="1714" w:type="dxa"/>
          </w:tcPr>
          <w:p w14:paraId="347AED79">
            <w:pPr>
              <w:pStyle w:val="37"/>
              <w:suppressLineNumbers w:val="0"/>
              <w:spacing w:before="0" w:beforeAutospacing="0" w:afterAutospacing="0"/>
              <w:ind w:left="0" w:right="0"/>
              <w:rPr>
                <w:rFonts w:hint="default"/>
                <w:lang w:eastAsia="ja-JP"/>
              </w:rPr>
            </w:pPr>
            <w:r>
              <w:rPr>
                <w:rFonts w:hint="default"/>
                <w:lang w:eastAsia="ja-JP"/>
              </w:rPr>
              <w:t>Wanted signal mean power for WA BS (dBm)</w:t>
            </w:r>
          </w:p>
        </w:tc>
        <w:tc>
          <w:tcPr>
            <w:tcW w:w="1710" w:type="dxa"/>
          </w:tcPr>
          <w:p w14:paraId="20C646CA">
            <w:pPr>
              <w:pStyle w:val="37"/>
              <w:suppressLineNumbers w:val="0"/>
              <w:spacing w:before="0" w:beforeAutospacing="0" w:afterAutospacing="0"/>
              <w:ind w:left="0" w:right="0"/>
              <w:rPr>
                <w:rFonts w:hint="default"/>
                <w:lang w:eastAsia="ja-JP"/>
              </w:rPr>
            </w:pPr>
            <w:r>
              <w:rPr>
                <w:rFonts w:hint="default"/>
                <w:lang w:eastAsia="ja-JP"/>
              </w:rPr>
              <w:t>Interfering signal mean power for WA BS (dBm)</w:t>
            </w:r>
          </w:p>
        </w:tc>
        <w:tc>
          <w:tcPr>
            <w:tcW w:w="1700" w:type="dxa"/>
          </w:tcPr>
          <w:p w14:paraId="3BC539BA">
            <w:pPr>
              <w:pStyle w:val="37"/>
              <w:suppressLineNumbers w:val="0"/>
              <w:spacing w:before="0" w:beforeAutospacing="0" w:afterAutospacing="0"/>
              <w:ind w:left="0" w:right="0"/>
              <w:rPr>
                <w:rFonts w:hint="default"/>
                <w:lang w:eastAsia="ja-JP"/>
              </w:rPr>
            </w:pPr>
            <w:r>
              <w:rPr>
                <w:rFonts w:hint="default"/>
                <w:lang w:eastAsia="ja-JP"/>
              </w:rPr>
              <w:t>Interfering signal mean power for MR BS (dBm)</w:t>
            </w:r>
          </w:p>
        </w:tc>
        <w:tc>
          <w:tcPr>
            <w:tcW w:w="1396" w:type="dxa"/>
          </w:tcPr>
          <w:p w14:paraId="3EA18570">
            <w:pPr>
              <w:pStyle w:val="37"/>
              <w:suppressLineNumbers w:val="0"/>
              <w:spacing w:before="0" w:beforeAutospacing="0" w:afterAutospacing="0"/>
              <w:ind w:left="0" w:right="0"/>
              <w:rPr>
                <w:rFonts w:hint="default"/>
                <w:lang w:eastAsia="ja-JP"/>
              </w:rPr>
            </w:pPr>
            <w:r>
              <w:rPr>
                <w:rFonts w:hint="default"/>
                <w:lang w:eastAsia="ja-JP"/>
              </w:rPr>
              <w:t>Interfering signal mean power for LA BS (dBm)</w:t>
            </w:r>
          </w:p>
        </w:tc>
        <w:tc>
          <w:tcPr>
            <w:tcW w:w="1299" w:type="dxa"/>
          </w:tcPr>
          <w:p w14:paraId="17ABED6F">
            <w:pPr>
              <w:pStyle w:val="37"/>
              <w:suppressLineNumbers w:val="0"/>
              <w:spacing w:before="0" w:beforeAutospacing="0" w:afterAutospacing="0"/>
              <w:ind w:left="0" w:right="0"/>
              <w:rPr>
                <w:rFonts w:hint="default"/>
                <w:lang w:eastAsia="ja-JP"/>
              </w:rPr>
            </w:pPr>
            <w:r>
              <w:rPr>
                <w:rFonts w:hint="default"/>
                <w:lang w:eastAsia="ja-JP"/>
              </w:rPr>
              <w:t>Type of interfering signal</w:t>
            </w:r>
          </w:p>
        </w:tc>
      </w:tr>
      <w:tr w14:paraId="0A993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0" w:type="dxa"/>
          </w:tcPr>
          <w:p w14:paraId="46E00261">
            <w:pPr>
              <w:pStyle w:val="38"/>
              <w:suppressLineNumbers w:val="0"/>
              <w:spacing w:before="0" w:beforeAutospacing="0" w:afterAutospacing="0"/>
              <w:ind w:left="0" w:right="0"/>
              <w:rPr>
                <w:rFonts w:hint="default" w:cs="Arial"/>
                <w:szCs w:val="18"/>
                <w:lang w:eastAsia="ja-JP"/>
              </w:rPr>
            </w:pPr>
            <w:r>
              <w:rPr>
                <w:rFonts w:hint="default"/>
                <w:lang w:eastAsia="zh-CN"/>
              </w:rPr>
              <w:t xml:space="preserve">Frequency range of co-located downlink </w:t>
            </w:r>
            <w:r>
              <w:rPr>
                <w:rFonts w:hint="default"/>
                <w:i/>
                <w:lang w:eastAsia="zh-CN"/>
              </w:rPr>
              <w:t>operating band</w:t>
            </w:r>
          </w:p>
        </w:tc>
        <w:tc>
          <w:tcPr>
            <w:tcW w:w="1714" w:type="dxa"/>
            <w:vAlign w:val="center"/>
          </w:tcPr>
          <w:p w14:paraId="4A34CDFC">
            <w:pPr>
              <w:pStyle w:val="38"/>
              <w:suppressLineNumbers w:val="0"/>
              <w:spacing w:before="0" w:beforeAutospacing="0" w:afterAutospacing="0"/>
              <w:ind w:left="0" w:right="0"/>
              <w:rPr>
                <w:rFonts w:hint="default" w:cs="Arial"/>
                <w:szCs w:val="18"/>
                <w:lang w:eastAsia="ja-JP"/>
              </w:rPr>
            </w:pPr>
            <w:r>
              <w:rPr>
                <w:rFonts w:hint="default"/>
              </w:rPr>
              <w:t>P</w:t>
            </w:r>
            <w:r>
              <w:rPr>
                <w:rFonts w:hint="default"/>
                <w:vertAlign w:val="subscript"/>
              </w:rPr>
              <w:t>REFSENS</w:t>
            </w:r>
            <w:r>
              <w:rPr>
                <w:rFonts w:hint="default"/>
              </w:rPr>
              <w:t xml:space="preserve"> +6dB</w:t>
            </w:r>
            <w:r>
              <w:rPr>
                <w:rFonts w:hint="default"/>
              </w:rPr>
              <w:br w:type="textWrapping"/>
            </w:r>
            <w:r>
              <w:rPr>
                <w:rFonts w:hint="default"/>
              </w:rPr>
              <w:t>(</w:t>
            </w:r>
            <w:r>
              <w:rPr>
                <w:rFonts w:hint="default" w:eastAsia="宋体"/>
                <w:lang w:val="en-US" w:eastAsia="zh-CN"/>
              </w:rPr>
              <w:t>Note 1</w:t>
            </w:r>
            <w:r>
              <w:rPr>
                <w:rFonts w:hint="default"/>
              </w:rPr>
              <w:t>)</w:t>
            </w:r>
          </w:p>
        </w:tc>
        <w:tc>
          <w:tcPr>
            <w:tcW w:w="1710" w:type="dxa"/>
            <w:vAlign w:val="center"/>
          </w:tcPr>
          <w:p w14:paraId="27A9258C">
            <w:pPr>
              <w:pStyle w:val="38"/>
              <w:suppressLineNumbers w:val="0"/>
              <w:spacing w:before="0" w:beforeAutospacing="0" w:afterAutospacing="0"/>
              <w:ind w:left="0" w:right="0"/>
              <w:rPr>
                <w:rFonts w:hint="default" w:cs="Arial"/>
                <w:szCs w:val="18"/>
                <w:lang w:eastAsia="ja-JP"/>
              </w:rPr>
            </w:pPr>
            <w:r>
              <w:rPr>
                <w:rFonts w:hint="default" w:cs="Arial"/>
                <w:szCs w:val="18"/>
                <w:lang w:eastAsia="ja-JP"/>
              </w:rPr>
              <w:t>+</w:t>
            </w:r>
            <w:r>
              <w:rPr>
                <w:rFonts w:hint="default" w:eastAsia="宋体" w:cs="Arial"/>
                <w:szCs w:val="18"/>
                <w:lang w:val="en-US" w:eastAsia="zh-CN"/>
              </w:rPr>
              <w:t>16</w:t>
            </w:r>
          </w:p>
        </w:tc>
        <w:tc>
          <w:tcPr>
            <w:tcW w:w="1700" w:type="dxa"/>
            <w:vAlign w:val="center"/>
          </w:tcPr>
          <w:p w14:paraId="733BC4A0">
            <w:pPr>
              <w:pStyle w:val="38"/>
              <w:suppressLineNumbers w:val="0"/>
              <w:spacing w:before="0" w:beforeAutospacing="0" w:afterAutospacing="0"/>
              <w:ind w:left="0" w:right="0"/>
              <w:rPr>
                <w:rFonts w:hint="default"/>
                <w:szCs w:val="18"/>
                <w:lang w:eastAsia="ja-JP"/>
              </w:rPr>
            </w:pPr>
            <w:r>
              <w:rPr>
                <w:rFonts w:hint="default" w:cs="Arial"/>
                <w:szCs w:val="18"/>
                <w:lang w:eastAsia="ja-JP"/>
              </w:rPr>
              <w:t>+</w:t>
            </w:r>
            <w:r>
              <w:rPr>
                <w:rFonts w:hint="default" w:eastAsia="宋体" w:cs="Arial"/>
                <w:szCs w:val="18"/>
                <w:lang w:val="en-US" w:eastAsia="zh-CN"/>
              </w:rPr>
              <w:t>8</w:t>
            </w:r>
          </w:p>
        </w:tc>
        <w:tc>
          <w:tcPr>
            <w:tcW w:w="1396" w:type="dxa"/>
            <w:vAlign w:val="center"/>
          </w:tcPr>
          <w:p w14:paraId="62806F34">
            <w:pPr>
              <w:pStyle w:val="38"/>
              <w:suppressLineNumbers w:val="0"/>
              <w:spacing w:before="0" w:beforeAutospacing="0" w:afterAutospacing="0"/>
              <w:ind w:left="0" w:right="0"/>
              <w:rPr>
                <w:rFonts w:hint="default"/>
                <w:szCs w:val="18"/>
                <w:lang w:eastAsia="ja-JP"/>
              </w:rPr>
            </w:pPr>
            <w:r>
              <w:rPr>
                <w:rFonts w:hint="default" w:eastAsia="宋体"/>
                <w:lang w:val="en-US" w:eastAsia="zh-CN"/>
              </w:rPr>
              <w:t>x (Note 2)</w:t>
            </w:r>
          </w:p>
        </w:tc>
        <w:tc>
          <w:tcPr>
            <w:tcW w:w="1299" w:type="dxa"/>
            <w:vAlign w:val="center"/>
          </w:tcPr>
          <w:p w14:paraId="31151320">
            <w:pPr>
              <w:pStyle w:val="38"/>
              <w:suppressLineNumbers w:val="0"/>
              <w:spacing w:before="0" w:beforeAutospacing="0" w:afterAutospacing="0"/>
              <w:ind w:left="0" w:right="0"/>
              <w:rPr>
                <w:rFonts w:hint="default"/>
                <w:lang w:eastAsia="ja-JP"/>
              </w:rPr>
            </w:pPr>
            <w:r>
              <w:rPr>
                <w:rFonts w:hint="default"/>
                <w:lang w:eastAsia="ja-JP"/>
              </w:rPr>
              <w:t>CW carrier</w:t>
            </w:r>
          </w:p>
        </w:tc>
      </w:tr>
      <w:tr w14:paraId="2DF5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6"/>
          </w:tcPr>
          <w:p w14:paraId="06A6939D">
            <w:pPr>
              <w:pStyle w:val="50"/>
              <w:suppressLineNumbers w:val="0"/>
              <w:spacing w:before="0" w:beforeAutospacing="0" w:afterAutospacing="0"/>
              <w:ind w:right="0"/>
              <w:rPr>
                <w:rFonts w:hint="default"/>
              </w:rPr>
            </w:pPr>
            <w:r>
              <w:rPr>
                <w:rFonts w:hint="default"/>
              </w:rPr>
              <w:t>N</w:t>
            </w:r>
            <w:r>
              <w:rPr>
                <w:rFonts w:hint="default" w:eastAsia="宋体"/>
                <w:lang w:val="en-US" w:eastAsia="zh-CN"/>
              </w:rPr>
              <w:t>OTE 1</w:t>
            </w:r>
            <w:r>
              <w:rPr>
                <w:rFonts w:hint="default"/>
              </w:rPr>
              <w:t>:</w:t>
            </w:r>
            <w:r>
              <w:rPr>
                <w:rFonts w:hint="default"/>
              </w:rPr>
              <w:tab/>
            </w:r>
            <w:r>
              <w:rPr>
                <w:rFonts w:hint="default"/>
              </w:rPr>
              <w:t>P</w:t>
            </w:r>
            <w:r>
              <w:rPr>
                <w:rFonts w:hint="default"/>
                <w:vertAlign w:val="subscript"/>
              </w:rPr>
              <w:t>REFSENS</w:t>
            </w:r>
            <w:r>
              <w:rPr>
                <w:rFonts w:hint="default"/>
              </w:rPr>
              <w:t xml:space="preserve"> depends on the </w:t>
            </w:r>
            <w:r>
              <w:rPr>
                <w:rFonts w:hint="default"/>
                <w:i/>
              </w:rPr>
              <w:t>BS channel bandwidth</w:t>
            </w:r>
            <w:r>
              <w:rPr>
                <w:rFonts w:hint="default"/>
              </w:rPr>
              <w:t xml:space="preserve"> as specified in Table 7.2.</w:t>
            </w:r>
            <w:r>
              <w:rPr>
                <w:rFonts w:hint="default"/>
                <w:lang w:eastAsia="zh-CN"/>
              </w:rPr>
              <w:t>2</w:t>
            </w:r>
            <w:r>
              <w:rPr>
                <w:rFonts w:hint="default"/>
              </w:rPr>
              <w:t>-1</w:t>
            </w:r>
            <w:r>
              <w:rPr>
                <w:rFonts w:hint="default"/>
                <w:lang w:eastAsia="zh-CN"/>
              </w:rPr>
              <w:t xml:space="preserve">, </w:t>
            </w:r>
            <w:r>
              <w:rPr>
                <w:rFonts w:hint="default" w:cs="v5.0.0"/>
                <w:lang w:eastAsia="zh-CN"/>
              </w:rPr>
              <w:t>7.2.2-2, and 7.2.2-3</w:t>
            </w:r>
            <w:r>
              <w:rPr>
                <w:rFonts w:hint="default"/>
              </w:rPr>
              <w:t>.</w:t>
            </w:r>
          </w:p>
          <w:p w14:paraId="6DF8D586">
            <w:pPr>
              <w:pStyle w:val="50"/>
              <w:suppressLineNumbers w:val="0"/>
              <w:spacing w:before="0" w:beforeAutospacing="0" w:afterAutospacing="0"/>
              <w:ind w:right="0"/>
              <w:rPr>
                <w:rFonts w:hint="default" w:eastAsia="宋体"/>
                <w:lang w:val="en-US" w:eastAsia="zh-CN"/>
              </w:rPr>
            </w:pPr>
            <w:r>
              <w:rPr>
                <w:rFonts w:hint="default" w:eastAsia="宋体"/>
                <w:lang w:val="en-US" w:eastAsia="zh-CN"/>
              </w:rPr>
              <w:t>NOTE 2:</w:t>
            </w:r>
            <w:r>
              <w:rPr>
                <w:rFonts w:hint="default" w:eastAsia="宋体"/>
                <w:lang w:val="en-US" w:eastAsia="zh-CN"/>
              </w:rPr>
              <w:tab/>
            </w:r>
            <w:r>
              <w:rPr>
                <w:rFonts w:hint="default" w:eastAsia="宋体"/>
                <w:lang w:val="en-US" w:eastAsia="zh-CN"/>
              </w:rPr>
              <w:t>x = -7 dBm for NR BS co-located with Pico GSM850 or Pico CDMA850</w:t>
            </w:r>
            <w:r>
              <w:rPr>
                <w:rFonts w:hint="default" w:eastAsia="宋体"/>
                <w:lang w:val="en-US" w:eastAsia="zh-CN"/>
              </w:rPr>
              <w:br w:type="textWrapping"/>
            </w:r>
            <w:r>
              <w:rPr>
                <w:rFonts w:hint="default" w:eastAsia="宋体"/>
                <w:lang w:val="en-US" w:eastAsia="zh-CN"/>
              </w:rPr>
              <w:t>x = -4 dBm for NR BS co-located with Pico DCS1800 or Pico PCS1900</w:t>
            </w:r>
            <w:r>
              <w:rPr>
                <w:rFonts w:hint="default" w:eastAsia="宋体"/>
                <w:lang w:val="en-US" w:eastAsia="zh-CN"/>
              </w:rPr>
              <w:br w:type="textWrapping"/>
            </w:r>
            <w:r>
              <w:rPr>
                <w:rFonts w:hint="default" w:eastAsia="宋体"/>
                <w:lang w:val="en-US" w:eastAsia="zh-CN"/>
              </w:rPr>
              <w:t>x = -6 dBm for NR BS co-located with UTRA bands or E-UTRA bands or NR bands</w:t>
            </w:r>
          </w:p>
          <w:p w14:paraId="1D91BF27">
            <w:pPr>
              <w:pStyle w:val="50"/>
              <w:suppressLineNumbers w:val="0"/>
              <w:spacing w:before="0" w:beforeAutospacing="0" w:afterAutospacing="0"/>
              <w:ind w:right="0"/>
              <w:rPr>
                <w:rFonts w:hint="default" w:eastAsia="宋体"/>
                <w:lang w:val="en-US" w:eastAsia="zh-CN"/>
              </w:rPr>
            </w:pPr>
            <w:r>
              <w:rPr>
                <w:rFonts w:hint="default"/>
                <w:lang w:eastAsia="ja-JP"/>
              </w:rPr>
              <w:t>NOTE 3:</w:t>
            </w:r>
            <w:r>
              <w:rPr>
                <w:rFonts w:hint="default"/>
                <w:lang w:eastAsia="ja-JP"/>
              </w:rPr>
              <w:tab/>
            </w:r>
            <w:r>
              <w:rPr>
                <w:rFonts w:hint="default"/>
                <w:lang w:eastAsia="ja-JP"/>
              </w:rPr>
              <w:t xml:space="preserve">The requirement does not apply when the interfering signal falls within any of the supported uplink </w:t>
            </w:r>
            <w:r>
              <w:rPr>
                <w:rFonts w:hint="default"/>
                <w:i/>
                <w:lang w:eastAsia="ja-JP"/>
              </w:rPr>
              <w:t>operating band(s)</w:t>
            </w:r>
            <w:r>
              <w:rPr>
                <w:rFonts w:hint="default"/>
                <w:lang w:eastAsia="ja-JP"/>
              </w:rPr>
              <w:t xml:space="preserve"> or in </w:t>
            </w:r>
            <w:r>
              <w:rPr>
                <w:rFonts w:hint="default"/>
              </w:rPr>
              <w:t>Δf</w:t>
            </w:r>
            <w:r>
              <w:rPr>
                <w:rFonts w:hint="default"/>
                <w:vertAlign w:val="subscript"/>
              </w:rPr>
              <w:t>OOB</w:t>
            </w:r>
            <w:r>
              <w:rPr>
                <w:rFonts w:hint="default"/>
                <w:lang w:eastAsia="ja-JP"/>
              </w:rPr>
              <w:t xml:space="preserve"> immediately outside any of the supported uplink </w:t>
            </w:r>
            <w:r>
              <w:rPr>
                <w:rFonts w:hint="default"/>
                <w:i/>
                <w:lang w:eastAsia="ja-JP"/>
              </w:rPr>
              <w:t>operating band(s)</w:t>
            </w:r>
            <w:r>
              <w:rPr>
                <w:rFonts w:hint="default"/>
                <w:lang w:eastAsia="ja-JP"/>
              </w:rPr>
              <w:t>.</w:t>
            </w:r>
          </w:p>
        </w:tc>
      </w:tr>
    </w:tbl>
    <w:p w14:paraId="43F475BA">
      <w:pPr>
        <w:tabs>
          <w:tab w:val="left" w:pos="2127"/>
        </w:tabs>
        <w:spacing w:after="0"/>
        <w:rPr>
          <w:rFonts w:hint="default"/>
          <w:highlight w:val="yellow"/>
          <w:lang w:val="en-US" w:eastAsia="zh-CN"/>
        </w:rPr>
      </w:pPr>
    </w:p>
    <w:p w14:paraId="297FCCC3">
      <w:pPr>
        <w:tabs>
          <w:tab w:val="left" w:pos="2127"/>
        </w:tabs>
        <w:spacing w:after="0"/>
        <w:rPr>
          <w:rFonts w:hint="eastAsia"/>
          <w:highlight w:val="none"/>
          <w:lang w:val="en-US" w:eastAsia="zh-CN"/>
        </w:rPr>
      </w:pPr>
      <w:r>
        <w:rPr>
          <w:rFonts w:hint="eastAsia"/>
          <w:highlight w:val="none"/>
          <w:lang w:val="en-US" w:eastAsia="zh-CN"/>
        </w:rPr>
        <w:t xml:space="preserve">The concept of co-location reference antenna is defined due to the measurement capability issue in the OTA chamber. E..g. -85dBm/MHz OFF power,  -96dBm/100KHz co-location spurious emission requirement is too low to be measured in the OTA chamber, using the alternative co-location reference antenna could help replace OTA measurement as the conducted interface measurement with much better measurement capability. </w:t>
      </w:r>
    </w:p>
    <w:p w14:paraId="6C642160">
      <w:pPr>
        <w:tabs>
          <w:tab w:val="left" w:pos="2127"/>
        </w:tabs>
        <w:spacing w:after="0"/>
        <w:rPr>
          <w:rFonts w:hint="eastAsia"/>
          <w:highlight w:val="none"/>
          <w:lang w:val="en-US" w:eastAsia="zh-CN"/>
        </w:rPr>
      </w:pPr>
      <w:r>
        <w:rPr>
          <w:rFonts w:hint="eastAsia"/>
          <w:highlight w:val="none"/>
          <w:lang w:val="en-US" w:eastAsia="zh-CN"/>
        </w:rPr>
        <w:t xml:space="preserve">For receiver OOBB requirement, to generate the CW signal with 46dBm/38dBm is also very challenging somehow, to use the co-location reference antenna could also alleviate the measurement risk. </w:t>
      </w:r>
    </w:p>
    <w:p w14:paraId="3F0F5EE5">
      <w:pPr>
        <w:tabs>
          <w:tab w:val="left" w:pos="2127"/>
        </w:tabs>
        <w:spacing w:after="0"/>
        <w:rPr>
          <w:rFonts w:hint="default"/>
          <w:highlight w:val="none"/>
          <w:lang w:val="en-US" w:eastAsia="zh-CN"/>
        </w:rPr>
      </w:pPr>
      <w:r>
        <w:rPr>
          <w:rFonts w:hint="eastAsia"/>
          <w:highlight w:val="none"/>
          <w:lang w:val="en-US" w:eastAsia="zh-CN"/>
        </w:rPr>
        <w:t xml:space="preserve">During the last RAN4 meeting, we have already agreed to consider the following requirement based on the MCL results, from our understanding, if we could focus on the MCL within single band analysis, then the transmitter OFF power and Tx IMD requirement should be treated as higher priority. </w:t>
      </w:r>
    </w:p>
    <w:p w14:paraId="70D355D6">
      <w:pPr>
        <w:pStyle w:val="48"/>
        <w:numPr>
          <w:ilvl w:val="0"/>
          <w:numId w:val="7"/>
        </w:numPr>
        <w:bidi w:val="0"/>
        <w:ind w:left="420" w:leftChars="0" w:hanging="420" w:firstLineChars="0"/>
        <w:rPr>
          <w:rFonts w:hint="default"/>
          <w:vertAlign w:val="baseline"/>
          <w:lang w:val="en-US" w:eastAsia="zh-CN"/>
        </w:rPr>
      </w:pPr>
      <w:r>
        <w:rPr>
          <w:rFonts w:hint="eastAsia"/>
          <w:vertAlign w:val="baseline"/>
          <w:lang w:val="en-US" w:eastAsia="zh-CN"/>
        </w:rPr>
        <w:t>Transmitter OFF power requirement</w:t>
      </w:r>
    </w:p>
    <w:p w14:paraId="58DD154E">
      <w:pPr>
        <w:pStyle w:val="48"/>
        <w:numPr>
          <w:ilvl w:val="0"/>
          <w:numId w:val="7"/>
        </w:numPr>
        <w:bidi w:val="0"/>
        <w:ind w:left="420" w:leftChars="0" w:hanging="420" w:firstLineChars="0"/>
        <w:rPr>
          <w:rFonts w:hint="default"/>
          <w:vertAlign w:val="baseline"/>
          <w:lang w:val="en-US" w:eastAsia="zh-CN"/>
        </w:rPr>
      </w:pPr>
      <w:r>
        <w:rPr>
          <w:rFonts w:hint="eastAsia"/>
          <w:vertAlign w:val="baseline"/>
          <w:lang w:val="en-US" w:eastAsia="zh-CN"/>
        </w:rPr>
        <w:t>Co-location spurious emission requirement/</w:t>
      </w:r>
      <w:r>
        <w:rPr>
          <w:rFonts w:hint="default"/>
          <w:vertAlign w:val="baseline"/>
          <w:lang w:val="en-US" w:eastAsia="zh-CN"/>
        </w:rPr>
        <w:t>Protection of the BS receiver of own or different BS</w:t>
      </w:r>
    </w:p>
    <w:p w14:paraId="6E86D1E4">
      <w:pPr>
        <w:pStyle w:val="48"/>
        <w:numPr>
          <w:ilvl w:val="0"/>
          <w:numId w:val="7"/>
        </w:numPr>
        <w:bidi w:val="0"/>
        <w:ind w:left="420" w:leftChars="0" w:hanging="420" w:firstLineChars="0"/>
        <w:rPr>
          <w:rFonts w:hint="eastAsia"/>
          <w:vertAlign w:val="baseline"/>
          <w:lang w:val="en-US" w:eastAsia="zh-CN"/>
        </w:rPr>
      </w:pPr>
      <w:r>
        <w:rPr>
          <w:rFonts w:hint="eastAsia"/>
          <w:vertAlign w:val="baseline"/>
          <w:lang w:val="en-US" w:eastAsia="zh-CN"/>
        </w:rPr>
        <w:t>Tx IMD requirement</w:t>
      </w:r>
    </w:p>
    <w:p w14:paraId="5FBAF283">
      <w:pPr>
        <w:pStyle w:val="48"/>
        <w:numPr>
          <w:ilvl w:val="0"/>
          <w:numId w:val="7"/>
        </w:numPr>
        <w:bidi w:val="0"/>
        <w:ind w:left="420" w:leftChars="0" w:hanging="420" w:firstLineChars="0"/>
        <w:rPr>
          <w:rFonts w:hint="default"/>
          <w:lang w:val="en-US" w:eastAsia="zh-CN"/>
        </w:rPr>
      </w:pPr>
      <w:r>
        <w:rPr>
          <w:rFonts w:hint="eastAsia"/>
          <w:vertAlign w:val="baseline"/>
          <w:lang w:val="en-US" w:eastAsia="zh-CN"/>
        </w:rPr>
        <w:t>Co-located OOBB requirement</w:t>
      </w:r>
    </w:p>
    <w:p w14:paraId="62584F04">
      <w:pPr>
        <w:pStyle w:val="48"/>
        <w:numPr>
          <w:ilvl w:val="0"/>
          <w:numId w:val="0"/>
        </w:numPr>
        <w:bidi w:val="0"/>
        <w:ind w:leftChars="0"/>
        <w:rPr>
          <w:rFonts w:hint="default"/>
          <w:lang w:val="en-US" w:eastAsia="zh-CN"/>
        </w:rPr>
      </w:pPr>
      <w:r>
        <w:rPr>
          <w:rFonts w:hint="eastAsia"/>
          <w:b/>
          <w:bCs/>
          <w:lang w:val="en-US" w:eastAsia="zh-CN"/>
        </w:rPr>
        <w:t>Proposal 1</w:t>
      </w:r>
      <w:r>
        <w:rPr>
          <w:rFonts w:hint="eastAsia"/>
          <w:lang w:val="en-US" w:eastAsia="zh-CN"/>
        </w:rPr>
        <w:t>: if RAN4 agrees to focus on the MCL analysis within the same band in Rel-19, propose to consider  Tx OFF power and Tx IMD requirement only.</w:t>
      </w:r>
    </w:p>
    <w:p w14:paraId="5B487DBA">
      <w:pPr>
        <w:pStyle w:val="3"/>
        <w:numPr>
          <w:ilvl w:val="1"/>
          <w:numId w:val="1"/>
        </w:numPr>
        <w:ind w:left="720" w:leftChars="0" w:hanging="720" w:firstLineChars="0"/>
        <w:rPr>
          <w:rFonts w:hint="eastAsia" w:cs="Times New Roman"/>
          <w:b w:val="0"/>
          <w:bCs w:val="0"/>
          <w:sz w:val="28"/>
          <w:szCs w:val="28"/>
          <w:lang w:val="en-US" w:eastAsia="zh-CN"/>
        </w:rPr>
      </w:pPr>
      <w:r>
        <w:rPr>
          <w:rFonts w:hint="eastAsia" w:cs="Times New Roman"/>
          <w:b w:val="0"/>
          <w:bCs w:val="0"/>
          <w:sz w:val="28"/>
          <w:szCs w:val="28"/>
          <w:lang w:val="en-US" w:eastAsia="zh-CN"/>
        </w:rPr>
        <w:t xml:space="preserve">.Difference between </w:t>
      </w:r>
      <w:r>
        <w:rPr>
          <w:rFonts w:hint="default" w:cs="Times New Roman"/>
          <w:b w:val="0"/>
          <w:bCs w:val="0"/>
          <w:sz w:val="28"/>
          <w:szCs w:val="28"/>
          <w:lang w:val="en-US" w:eastAsia="zh-CN"/>
        </w:rPr>
        <w:t>AAS BS vs AAS BS</w:t>
      </w:r>
      <w:r>
        <w:rPr>
          <w:rFonts w:hint="eastAsia" w:cs="Times New Roman"/>
          <w:b w:val="0"/>
          <w:bCs w:val="0"/>
          <w:sz w:val="28"/>
          <w:szCs w:val="28"/>
          <w:lang w:val="en-US" w:eastAsia="zh-CN"/>
        </w:rPr>
        <w:t xml:space="preserve"> and AAS vs co-location reference antenna</w:t>
      </w:r>
    </w:p>
    <w:p w14:paraId="41F098B8">
      <w:pPr>
        <w:tabs>
          <w:tab w:val="left" w:pos="2127"/>
        </w:tabs>
        <w:spacing w:after="0"/>
        <w:rPr>
          <w:rFonts w:hint="eastAsia"/>
          <w:lang w:val="en-US" w:eastAsia="zh-CN"/>
        </w:rPr>
      </w:pPr>
      <w:r>
        <w:rPr>
          <w:rFonts w:hint="eastAsia"/>
          <w:lang w:val="en-US" w:eastAsia="zh-CN"/>
        </w:rPr>
        <w:t xml:space="preserve">In the previous discussions, one of the critical issue is to identify the difference between AAS vs AAS BS and AAS vs co-location reference antenna. In the following section,we would like to provide the further analysis from both transmitter and receiver requirements perspective. </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7"/>
        <w:gridCol w:w="2667"/>
        <w:gridCol w:w="1955"/>
        <w:gridCol w:w="1955"/>
      </w:tblGrid>
      <w:tr w14:paraId="3CD6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blHeader/>
          <w:jc w:val="center"/>
        </w:trPr>
        <w:tc>
          <w:tcPr>
            <w:tcW w:w="2667" w:type="dxa"/>
          </w:tcPr>
          <w:p w14:paraId="28BDE96F">
            <w:pPr>
              <w:pStyle w:val="37"/>
              <w:suppressLineNumbers w:val="0"/>
              <w:spacing w:before="0" w:beforeAutospacing="0" w:afterAutospacing="0"/>
              <w:ind w:left="0" w:right="0"/>
              <w:rPr>
                <w:rFonts w:hint="default"/>
              </w:rPr>
            </w:pPr>
            <w:r>
              <w:rPr>
                <w:rFonts w:hint="default"/>
              </w:rPr>
              <w:t>Clause number</w:t>
            </w:r>
          </w:p>
        </w:tc>
        <w:tc>
          <w:tcPr>
            <w:tcW w:w="2667" w:type="dxa"/>
          </w:tcPr>
          <w:p w14:paraId="61A6FAD1">
            <w:pPr>
              <w:pStyle w:val="37"/>
              <w:suppressLineNumbers w:val="0"/>
              <w:spacing w:before="0" w:beforeAutospacing="0" w:afterAutospacing="0"/>
              <w:ind w:left="0" w:right="0"/>
              <w:rPr>
                <w:rFonts w:hint="default"/>
              </w:rPr>
            </w:pPr>
            <w:r>
              <w:rPr>
                <w:rFonts w:hint="default"/>
              </w:rPr>
              <w:t>Requirement</w:t>
            </w:r>
          </w:p>
        </w:tc>
        <w:tc>
          <w:tcPr>
            <w:tcW w:w="1955" w:type="dxa"/>
            <w:shd w:val="clear" w:color="auto" w:fill="auto"/>
          </w:tcPr>
          <w:p w14:paraId="1B84FD6C">
            <w:pPr>
              <w:pStyle w:val="37"/>
              <w:suppressLineNumbers w:val="0"/>
              <w:spacing w:before="0" w:beforeAutospacing="0" w:afterAutospacing="0"/>
              <w:ind w:left="0" w:right="0"/>
              <w:rPr>
                <w:rFonts w:hint="default"/>
              </w:rPr>
            </w:pPr>
            <w:r>
              <w:rPr>
                <w:rFonts w:hint="default"/>
              </w:rPr>
              <w:t>Co-location reference antenna operation</w:t>
            </w:r>
          </w:p>
        </w:tc>
        <w:tc>
          <w:tcPr>
            <w:tcW w:w="1955" w:type="dxa"/>
          </w:tcPr>
          <w:p w14:paraId="5A17890C">
            <w:pPr>
              <w:pStyle w:val="37"/>
              <w:suppressLineNumbers w:val="0"/>
              <w:spacing w:before="0" w:beforeAutospacing="0" w:afterAutospacing="0"/>
              <w:ind w:left="0" w:right="0"/>
              <w:rPr>
                <w:rFonts w:hint="default"/>
              </w:rPr>
            </w:pPr>
            <w:r>
              <w:rPr>
                <w:rFonts w:hint="default"/>
              </w:rPr>
              <w:t>Type</w:t>
            </w:r>
          </w:p>
        </w:tc>
      </w:tr>
      <w:tr w14:paraId="6FEEA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67" w:type="dxa"/>
            <w:tcBorders>
              <w:bottom w:val="single" w:color="auto" w:sz="4" w:space="0"/>
            </w:tcBorders>
          </w:tcPr>
          <w:p w14:paraId="5400ECC0">
            <w:pPr>
              <w:pStyle w:val="38"/>
              <w:suppressLineNumbers w:val="0"/>
              <w:spacing w:before="0" w:beforeAutospacing="0" w:afterAutospacing="0"/>
              <w:ind w:left="0" w:right="0"/>
              <w:rPr>
                <w:rFonts w:hint="default"/>
                <w:lang w:eastAsia="zh-CN"/>
              </w:rPr>
            </w:pPr>
            <w:r>
              <w:rPr>
                <w:rFonts w:hint="default"/>
                <w:lang w:eastAsia="zh-CN"/>
              </w:rPr>
              <w:t>6.5</w:t>
            </w:r>
          </w:p>
        </w:tc>
        <w:tc>
          <w:tcPr>
            <w:tcW w:w="2667" w:type="dxa"/>
          </w:tcPr>
          <w:p w14:paraId="3B5DC01A">
            <w:pPr>
              <w:pStyle w:val="38"/>
              <w:suppressLineNumbers w:val="0"/>
              <w:spacing w:before="0" w:beforeAutospacing="0" w:afterAutospacing="0"/>
              <w:ind w:left="0" w:right="0"/>
              <w:rPr>
                <w:rFonts w:hint="default"/>
                <w:lang w:eastAsia="zh-CN"/>
              </w:rPr>
            </w:pPr>
            <w:r>
              <w:rPr>
                <w:rFonts w:hint="default"/>
                <w:lang w:eastAsia="zh-CN"/>
              </w:rPr>
              <w:t>OTA transmit ON/OFF power for FR1</w:t>
            </w:r>
          </w:p>
        </w:tc>
        <w:tc>
          <w:tcPr>
            <w:tcW w:w="1955" w:type="dxa"/>
            <w:tcBorders>
              <w:bottom w:val="single" w:color="auto" w:sz="4" w:space="0"/>
            </w:tcBorders>
            <w:shd w:val="clear" w:color="auto" w:fill="auto"/>
          </w:tcPr>
          <w:p w14:paraId="136A5867">
            <w:pPr>
              <w:pStyle w:val="38"/>
              <w:suppressLineNumbers w:val="0"/>
              <w:spacing w:before="0" w:beforeAutospacing="0" w:afterAutospacing="0"/>
              <w:ind w:left="0" w:right="0"/>
              <w:rPr>
                <w:rFonts w:hint="default"/>
                <w:lang w:eastAsia="zh-CN"/>
              </w:rPr>
            </w:pPr>
            <w:r>
              <w:rPr>
                <w:rFonts w:hint="default"/>
                <w:lang w:eastAsia="zh-CN"/>
              </w:rPr>
              <w:t>Measure emission</w:t>
            </w:r>
          </w:p>
        </w:tc>
        <w:tc>
          <w:tcPr>
            <w:tcW w:w="1955" w:type="dxa"/>
            <w:tcBorders>
              <w:bottom w:val="single" w:color="auto" w:sz="4" w:space="0"/>
            </w:tcBorders>
          </w:tcPr>
          <w:p w14:paraId="275C81B5">
            <w:pPr>
              <w:pStyle w:val="38"/>
              <w:suppressLineNumbers w:val="0"/>
              <w:spacing w:before="0" w:beforeAutospacing="0" w:afterAutospacing="0"/>
              <w:ind w:left="0" w:right="0"/>
              <w:rPr>
                <w:rFonts w:hint="default"/>
                <w:lang w:eastAsia="zh-CN"/>
              </w:rPr>
            </w:pPr>
            <w:r>
              <w:rPr>
                <w:rFonts w:hint="default"/>
                <w:lang w:eastAsia="zh-CN"/>
              </w:rPr>
              <w:t>Mandatory</w:t>
            </w:r>
          </w:p>
        </w:tc>
      </w:tr>
      <w:tr w14:paraId="011AA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67" w:type="dxa"/>
            <w:tcBorders>
              <w:bottom w:val="nil"/>
            </w:tcBorders>
            <w:shd w:val="clear" w:color="auto" w:fill="auto"/>
          </w:tcPr>
          <w:p w14:paraId="08E5D935">
            <w:pPr>
              <w:pStyle w:val="38"/>
              <w:suppressLineNumbers w:val="0"/>
              <w:spacing w:before="0" w:beforeAutospacing="0" w:afterAutospacing="0"/>
              <w:ind w:left="0" w:right="0"/>
              <w:rPr>
                <w:rFonts w:hint="default"/>
              </w:rPr>
            </w:pPr>
            <w:r>
              <w:rPr>
                <w:rFonts w:hint="default"/>
              </w:rPr>
              <w:t>6.7.5.3</w:t>
            </w:r>
          </w:p>
          <w:p w14:paraId="03AC3253">
            <w:pPr>
              <w:pStyle w:val="38"/>
              <w:suppressLineNumbers w:val="0"/>
              <w:spacing w:before="0" w:beforeAutospacing="0" w:afterAutospacing="0"/>
              <w:ind w:left="0" w:right="0"/>
              <w:rPr>
                <w:rFonts w:hint="default"/>
              </w:rPr>
            </w:pPr>
            <w:r>
              <w:rPr>
                <w:rFonts w:hint="default"/>
              </w:rPr>
              <w:t>6.7.5.5</w:t>
            </w:r>
          </w:p>
        </w:tc>
        <w:tc>
          <w:tcPr>
            <w:tcW w:w="2667" w:type="dxa"/>
          </w:tcPr>
          <w:p w14:paraId="72C2E0C3">
            <w:pPr>
              <w:pStyle w:val="38"/>
              <w:suppressLineNumbers w:val="0"/>
              <w:spacing w:before="0" w:beforeAutospacing="0" w:afterAutospacing="0"/>
              <w:ind w:left="0" w:right="0"/>
              <w:rPr>
                <w:rFonts w:hint="default"/>
              </w:rPr>
            </w:pPr>
            <w:r>
              <w:rPr>
                <w:rFonts w:hint="default"/>
              </w:rPr>
              <w:t>OTA spurious emission: Protection of the BS receiver of own or different BS</w:t>
            </w:r>
          </w:p>
        </w:tc>
        <w:tc>
          <w:tcPr>
            <w:tcW w:w="1955" w:type="dxa"/>
            <w:tcBorders>
              <w:bottom w:val="nil"/>
            </w:tcBorders>
            <w:shd w:val="clear" w:color="auto" w:fill="auto"/>
          </w:tcPr>
          <w:p w14:paraId="43C3F6EE">
            <w:pPr>
              <w:pStyle w:val="38"/>
              <w:suppressLineNumbers w:val="0"/>
              <w:spacing w:before="0" w:beforeAutospacing="0" w:afterAutospacing="0"/>
              <w:ind w:left="0" w:right="0"/>
              <w:rPr>
                <w:rFonts w:hint="default"/>
              </w:rPr>
            </w:pPr>
            <w:r>
              <w:rPr>
                <w:rFonts w:hint="default"/>
              </w:rPr>
              <w:t>Measure emission</w:t>
            </w:r>
          </w:p>
        </w:tc>
        <w:tc>
          <w:tcPr>
            <w:tcW w:w="1955" w:type="dxa"/>
            <w:tcBorders>
              <w:bottom w:val="nil"/>
            </w:tcBorders>
            <w:shd w:val="clear" w:color="auto" w:fill="auto"/>
          </w:tcPr>
          <w:p w14:paraId="34EC5B86">
            <w:pPr>
              <w:pStyle w:val="38"/>
              <w:suppressLineNumbers w:val="0"/>
              <w:spacing w:before="0" w:beforeAutospacing="0" w:afterAutospacing="0"/>
              <w:ind w:left="0" w:right="0"/>
              <w:rPr>
                <w:rFonts w:hint="default"/>
              </w:rPr>
            </w:pPr>
            <w:r>
              <w:rPr>
                <w:rFonts w:hint="default"/>
              </w:rPr>
              <w:t>Optional based on declaration</w:t>
            </w:r>
          </w:p>
        </w:tc>
      </w:tr>
      <w:tr w14:paraId="70863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67" w:type="dxa"/>
            <w:tcBorders>
              <w:top w:val="nil"/>
            </w:tcBorders>
            <w:shd w:val="clear" w:color="auto" w:fill="auto"/>
          </w:tcPr>
          <w:p w14:paraId="3EE2BDD6">
            <w:pPr>
              <w:pStyle w:val="38"/>
              <w:suppressLineNumbers w:val="0"/>
              <w:spacing w:before="0" w:beforeAutospacing="0" w:afterAutospacing="0"/>
              <w:ind w:left="0" w:right="0"/>
              <w:rPr>
                <w:rFonts w:hint="default"/>
              </w:rPr>
            </w:pPr>
          </w:p>
        </w:tc>
        <w:tc>
          <w:tcPr>
            <w:tcW w:w="2667" w:type="dxa"/>
          </w:tcPr>
          <w:p w14:paraId="3F78E7CC">
            <w:pPr>
              <w:pStyle w:val="38"/>
              <w:suppressLineNumbers w:val="0"/>
              <w:spacing w:before="0" w:beforeAutospacing="0" w:afterAutospacing="0"/>
              <w:ind w:left="0" w:right="0"/>
              <w:rPr>
                <w:rFonts w:hint="default"/>
              </w:rPr>
            </w:pPr>
            <w:r>
              <w:rPr>
                <w:rFonts w:hint="default"/>
              </w:rPr>
              <w:t>OTA spurious emission: Co-location with other base stations</w:t>
            </w:r>
          </w:p>
        </w:tc>
        <w:tc>
          <w:tcPr>
            <w:tcW w:w="1955" w:type="dxa"/>
            <w:tcBorders>
              <w:top w:val="nil"/>
            </w:tcBorders>
            <w:shd w:val="clear" w:color="auto" w:fill="auto"/>
          </w:tcPr>
          <w:p w14:paraId="319EFC0D">
            <w:pPr>
              <w:pStyle w:val="38"/>
              <w:suppressLineNumbers w:val="0"/>
              <w:spacing w:before="0" w:beforeAutospacing="0" w:afterAutospacing="0"/>
              <w:ind w:left="0" w:right="0"/>
              <w:rPr>
                <w:rFonts w:hint="default"/>
              </w:rPr>
            </w:pPr>
          </w:p>
        </w:tc>
        <w:tc>
          <w:tcPr>
            <w:tcW w:w="1955" w:type="dxa"/>
            <w:tcBorders>
              <w:top w:val="nil"/>
            </w:tcBorders>
            <w:shd w:val="clear" w:color="auto" w:fill="auto"/>
          </w:tcPr>
          <w:p w14:paraId="328EB57E">
            <w:pPr>
              <w:pStyle w:val="38"/>
              <w:suppressLineNumbers w:val="0"/>
              <w:spacing w:before="0" w:beforeAutospacing="0" w:afterAutospacing="0"/>
              <w:ind w:left="0" w:right="0"/>
              <w:rPr>
                <w:rFonts w:hint="default"/>
              </w:rPr>
            </w:pPr>
          </w:p>
        </w:tc>
      </w:tr>
      <w:tr w14:paraId="4CF6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67" w:type="dxa"/>
          </w:tcPr>
          <w:p w14:paraId="3306837B">
            <w:pPr>
              <w:pStyle w:val="38"/>
              <w:suppressLineNumbers w:val="0"/>
              <w:spacing w:before="0" w:beforeAutospacing="0" w:afterAutospacing="0"/>
              <w:ind w:left="0" w:right="0"/>
              <w:rPr>
                <w:rFonts w:hint="default"/>
              </w:rPr>
            </w:pPr>
            <w:r>
              <w:rPr>
                <w:rFonts w:hint="default"/>
              </w:rPr>
              <w:t>6.8</w:t>
            </w:r>
          </w:p>
        </w:tc>
        <w:tc>
          <w:tcPr>
            <w:tcW w:w="2667" w:type="dxa"/>
          </w:tcPr>
          <w:p w14:paraId="44725637">
            <w:pPr>
              <w:pStyle w:val="38"/>
              <w:suppressLineNumbers w:val="0"/>
              <w:spacing w:before="0" w:beforeAutospacing="0" w:afterAutospacing="0"/>
              <w:ind w:left="0" w:right="0"/>
              <w:rPr>
                <w:rFonts w:hint="default"/>
              </w:rPr>
            </w:pPr>
            <w:r>
              <w:rPr>
                <w:rFonts w:hint="default"/>
              </w:rPr>
              <w:t>OTA transmitter intermodulation</w:t>
            </w:r>
          </w:p>
        </w:tc>
        <w:tc>
          <w:tcPr>
            <w:tcW w:w="1955" w:type="dxa"/>
            <w:shd w:val="clear" w:color="auto" w:fill="auto"/>
          </w:tcPr>
          <w:p w14:paraId="661F9A6D">
            <w:pPr>
              <w:pStyle w:val="38"/>
              <w:suppressLineNumbers w:val="0"/>
              <w:spacing w:before="0" w:beforeAutospacing="0" w:afterAutospacing="0"/>
              <w:ind w:left="0" w:right="0"/>
              <w:rPr>
                <w:rFonts w:hint="default"/>
              </w:rPr>
            </w:pPr>
            <w:r>
              <w:rPr>
                <w:rFonts w:hint="default"/>
              </w:rPr>
              <w:t>Inject the interferer signal</w:t>
            </w:r>
          </w:p>
        </w:tc>
        <w:tc>
          <w:tcPr>
            <w:tcW w:w="1955" w:type="dxa"/>
          </w:tcPr>
          <w:p w14:paraId="6CDBDCC0">
            <w:pPr>
              <w:pStyle w:val="38"/>
              <w:suppressLineNumbers w:val="0"/>
              <w:spacing w:before="0" w:beforeAutospacing="0" w:afterAutospacing="0"/>
              <w:ind w:left="0" w:right="0"/>
              <w:rPr>
                <w:rFonts w:hint="default"/>
              </w:rPr>
            </w:pPr>
            <w:r>
              <w:rPr>
                <w:rFonts w:hint="default"/>
              </w:rPr>
              <w:t>Mandatory</w:t>
            </w:r>
          </w:p>
        </w:tc>
      </w:tr>
      <w:tr w14:paraId="0CE4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67" w:type="dxa"/>
          </w:tcPr>
          <w:p w14:paraId="25F01945">
            <w:pPr>
              <w:pStyle w:val="38"/>
              <w:suppressLineNumbers w:val="0"/>
              <w:spacing w:before="0" w:beforeAutospacing="0" w:afterAutospacing="0"/>
              <w:ind w:left="0" w:right="0"/>
              <w:rPr>
                <w:rFonts w:hint="default"/>
              </w:rPr>
            </w:pPr>
            <w:r>
              <w:rPr>
                <w:rFonts w:hint="default"/>
              </w:rPr>
              <w:t>7.6.3</w:t>
            </w:r>
          </w:p>
        </w:tc>
        <w:tc>
          <w:tcPr>
            <w:tcW w:w="2667" w:type="dxa"/>
          </w:tcPr>
          <w:p w14:paraId="7A0E8AA1">
            <w:pPr>
              <w:pStyle w:val="38"/>
              <w:suppressLineNumbers w:val="0"/>
              <w:spacing w:before="0" w:beforeAutospacing="0" w:afterAutospacing="0"/>
              <w:ind w:left="0" w:right="0"/>
              <w:rPr>
                <w:rFonts w:hint="default"/>
              </w:rPr>
            </w:pPr>
            <w:r>
              <w:rPr>
                <w:rFonts w:hint="default"/>
              </w:rPr>
              <w:t>OTA out-of-band blocking: Co-location with other base stations</w:t>
            </w:r>
          </w:p>
        </w:tc>
        <w:tc>
          <w:tcPr>
            <w:tcW w:w="1955" w:type="dxa"/>
            <w:shd w:val="clear" w:color="auto" w:fill="auto"/>
          </w:tcPr>
          <w:p w14:paraId="5B5EF4CF">
            <w:pPr>
              <w:pStyle w:val="38"/>
              <w:suppressLineNumbers w:val="0"/>
              <w:spacing w:before="0" w:beforeAutospacing="0" w:afterAutospacing="0"/>
              <w:ind w:left="0" w:right="0"/>
              <w:rPr>
                <w:rFonts w:hint="default"/>
              </w:rPr>
            </w:pPr>
            <w:r>
              <w:rPr>
                <w:rFonts w:hint="default"/>
              </w:rPr>
              <w:t>Inject the interferer signal</w:t>
            </w:r>
          </w:p>
        </w:tc>
        <w:tc>
          <w:tcPr>
            <w:tcW w:w="1955" w:type="dxa"/>
          </w:tcPr>
          <w:p w14:paraId="2725AD2C">
            <w:pPr>
              <w:pStyle w:val="38"/>
              <w:suppressLineNumbers w:val="0"/>
              <w:spacing w:before="0" w:beforeAutospacing="0" w:afterAutospacing="0"/>
              <w:ind w:left="0" w:right="0"/>
              <w:rPr>
                <w:rFonts w:hint="default"/>
              </w:rPr>
            </w:pPr>
            <w:r>
              <w:rPr>
                <w:rFonts w:hint="default"/>
              </w:rPr>
              <w:t>Optional based on declaration</w:t>
            </w:r>
          </w:p>
        </w:tc>
      </w:tr>
    </w:tbl>
    <w:p w14:paraId="6C117B8F">
      <w:pPr>
        <w:rPr>
          <w:rFonts w:hint="default"/>
          <w:lang w:val="en-US" w:eastAsia="zh-CN"/>
        </w:rPr>
      </w:pPr>
      <w:r>
        <w:rPr>
          <w:rFonts w:hint="default"/>
          <w:lang w:val="en-US" w:eastAsia="zh-CN"/>
        </w:rPr>
        <w:br w:type="page"/>
      </w:r>
    </w:p>
    <w:p w14:paraId="0C9E6E30">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992755" cy="2526030"/>
            <wp:effectExtent l="0" t="0" r="17145" b="762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4"/>
                    <a:stretch>
                      <a:fillRect/>
                    </a:stretch>
                  </pic:blipFill>
                  <pic:spPr>
                    <a:xfrm>
                      <a:off x="0" y="0"/>
                      <a:ext cx="2992755" cy="2526030"/>
                    </a:xfrm>
                    <a:prstGeom prst="rect">
                      <a:avLst/>
                    </a:prstGeom>
                    <a:noFill/>
                    <a:ln w="9525">
                      <a:noFill/>
                    </a:ln>
                  </pic:spPr>
                </pic:pic>
              </a:graphicData>
            </a:graphic>
          </wp:inline>
        </w:drawing>
      </w:r>
    </w:p>
    <w:p w14:paraId="64284702">
      <w:pPr>
        <w:tabs>
          <w:tab w:val="left" w:pos="2127"/>
        </w:tabs>
        <w:spacing w:after="0"/>
        <w:jc w:val="center"/>
        <w:rPr>
          <w:rFonts w:hint="default"/>
          <w:lang w:val="en-US" w:eastAsia="zh-CN"/>
        </w:rPr>
      </w:pPr>
      <w:r>
        <w:rPr>
          <w:rFonts w:hint="eastAsia"/>
          <w:lang w:val="en-US" w:eastAsia="zh-CN"/>
        </w:rPr>
        <w:t>Figure 2.3-1. the legacy co-location reference antenna for OFF power and spurious emission requirement</w:t>
      </w:r>
    </w:p>
    <w:p w14:paraId="046ECBCF">
      <w:pPr>
        <w:tabs>
          <w:tab w:val="left" w:pos="2127"/>
        </w:tabs>
        <w:spacing w:after="0"/>
        <w:jc w:val="both"/>
        <w:rPr>
          <w:rFonts w:hint="default"/>
          <w:lang w:val="en-US" w:eastAsia="zh-CN"/>
        </w:rPr>
      </w:pPr>
      <w:r>
        <w:rPr>
          <w:rFonts w:hint="eastAsia"/>
          <w:lang w:val="en-US" w:eastAsia="zh-CN"/>
        </w:rPr>
        <w:t>For the legacy co-location reference antenna, the received power at co-location reference antenna output should be Ptx+G_Tx-Coupling_loss+G_Rx_CLTA.</w:t>
      </w:r>
    </w:p>
    <w:p w14:paraId="617D2EF8">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558030" cy="2355850"/>
            <wp:effectExtent l="0" t="0" r="13970" b="635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5"/>
                    <a:stretch>
                      <a:fillRect/>
                    </a:stretch>
                  </pic:blipFill>
                  <pic:spPr>
                    <a:xfrm>
                      <a:off x="0" y="0"/>
                      <a:ext cx="4558030" cy="2355850"/>
                    </a:xfrm>
                    <a:prstGeom prst="rect">
                      <a:avLst/>
                    </a:prstGeom>
                    <a:noFill/>
                    <a:ln w="9525">
                      <a:noFill/>
                    </a:ln>
                  </pic:spPr>
                </pic:pic>
              </a:graphicData>
            </a:graphic>
          </wp:inline>
        </w:drawing>
      </w:r>
    </w:p>
    <w:p w14:paraId="44AB07EB">
      <w:pPr>
        <w:tabs>
          <w:tab w:val="left" w:pos="2127"/>
        </w:tabs>
        <w:spacing w:after="0"/>
        <w:jc w:val="center"/>
        <w:rPr>
          <w:rFonts w:hint="default"/>
          <w:lang w:val="en-US" w:eastAsia="zh-CN"/>
        </w:rPr>
      </w:pPr>
      <w:r>
        <w:rPr>
          <w:rFonts w:hint="eastAsia"/>
          <w:lang w:val="en-US" w:eastAsia="zh-CN"/>
        </w:rPr>
        <w:t>Figure 2.3-2. the proposed new co-location reference antenna for OFF power and spurious emission requirement</w:t>
      </w:r>
    </w:p>
    <w:p w14:paraId="2813A8D7">
      <w:pPr>
        <w:tabs>
          <w:tab w:val="left" w:pos="2127"/>
        </w:tabs>
        <w:spacing w:after="0"/>
        <w:jc w:val="both"/>
        <w:rPr>
          <w:rFonts w:hint="eastAsia"/>
          <w:lang w:val="en-US" w:eastAsia="zh-CN"/>
        </w:rPr>
      </w:pPr>
      <w:r>
        <w:rPr>
          <w:rFonts w:hint="eastAsia"/>
          <w:lang w:val="en-US" w:eastAsia="zh-CN"/>
        </w:rPr>
        <w:t xml:space="preserve">For the proposed new co-location reference antenna for FR1 high bands, received power at co-location reference antenna output should be Ptx+G_Tx-Coupling_loss+G_Rx_sub-array. </w:t>
      </w:r>
    </w:p>
    <w:p w14:paraId="2A87C09E">
      <w:pPr>
        <w:tabs>
          <w:tab w:val="left" w:pos="2127"/>
        </w:tabs>
        <w:spacing w:after="0"/>
        <w:jc w:val="both"/>
        <w:rPr>
          <w:rFonts w:hint="eastAsia"/>
          <w:lang w:val="en-US" w:eastAsia="zh-CN"/>
        </w:rPr>
      </w:pPr>
      <w:r>
        <w:rPr>
          <w:rFonts w:hint="eastAsia"/>
          <w:lang w:val="en-US" w:eastAsia="zh-CN"/>
        </w:rPr>
        <w:t xml:space="preserve">The main difference for OFF power and spurious emission measurement would be G_Rx_CLTA and G_Rx_sub-array pattern. These two received gain for passive antenna of CLTA and AAS sub-array would be quite different. In other words, the measured spurious emission or transmitter OFF power from CLTA cannot be representative for AAS BS co-locating with AAS BS at sub-array level. </w:t>
      </w:r>
    </w:p>
    <w:p w14:paraId="675F0687">
      <w:pPr>
        <w:tabs>
          <w:tab w:val="left" w:pos="2127"/>
        </w:tabs>
        <w:spacing w:after="0"/>
        <w:jc w:val="both"/>
        <w:rPr>
          <w:rFonts w:hint="default"/>
          <w:lang w:val="en-US" w:eastAsia="zh-CN"/>
        </w:rPr>
      </w:pPr>
      <w:r>
        <w:rPr>
          <w:rFonts w:hint="eastAsia"/>
          <w:b/>
          <w:bCs/>
          <w:lang w:val="en-US" w:eastAsia="zh-CN"/>
        </w:rPr>
        <w:t>Observation 5</w:t>
      </w:r>
      <w:r>
        <w:rPr>
          <w:rFonts w:hint="eastAsia"/>
          <w:lang w:val="en-US" w:eastAsia="zh-CN"/>
        </w:rPr>
        <w:t xml:space="preserve">: These two received gain for passive antenna of CLTA and AAS sub-array would be quite different. In other words, the measured spurious emission or transmitter OFF power from CLTA cannot be reused or applicable for AAS BS co-locating with AAS BS at sub-array level. </w:t>
      </w:r>
    </w:p>
    <w:p w14:paraId="21EF80BD">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600450" cy="3038475"/>
            <wp:effectExtent l="0" t="0" r="0" b="9525"/>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16"/>
                    <a:stretch>
                      <a:fillRect/>
                    </a:stretch>
                  </pic:blipFill>
                  <pic:spPr>
                    <a:xfrm>
                      <a:off x="0" y="0"/>
                      <a:ext cx="3600450" cy="3038475"/>
                    </a:xfrm>
                    <a:prstGeom prst="rect">
                      <a:avLst/>
                    </a:prstGeom>
                    <a:noFill/>
                    <a:ln w="9525">
                      <a:noFill/>
                    </a:ln>
                  </pic:spPr>
                </pic:pic>
              </a:graphicData>
            </a:graphic>
          </wp:inline>
        </w:drawing>
      </w:r>
    </w:p>
    <w:p w14:paraId="64ED6EB6">
      <w:pPr>
        <w:tabs>
          <w:tab w:val="left" w:pos="2127"/>
        </w:tabs>
        <w:spacing w:after="0"/>
        <w:jc w:val="center"/>
        <w:rPr>
          <w:rFonts w:hint="eastAsia"/>
          <w:lang w:val="en-US" w:eastAsia="zh-CN"/>
        </w:rPr>
      </w:pPr>
      <w:r>
        <w:rPr>
          <w:rFonts w:hint="eastAsia"/>
          <w:lang w:val="en-US" w:eastAsia="zh-CN"/>
        </w:rPr>
        <w:t>Figure 2.3-3. the legacy co-location reference antenna for Tx intermodulation and co-location OOBB requirement</w:t>
      </w:r>
    </w:p>
    <w:p w14:paraId="007C9C72">
      <w:pPr>
        <w:tabs>
          <w:tab w:val="left" w:pos="2127"/>
        </w:tabs>
        <w:spacing w:after="0"/>
        <w:jc w:val="both"/>
        <w:rPr>
          <w:rFonts w:hint="default"/>
          <w:lang w:val="en-US" w:eastAsia="zh-CN"/>
        </w:rPr>
      </w:pPr>
      <w:r>
        <w:rPr>
          <w:rFonts w:hint="eastAsia"/>
          <w:lang w:val="en-US" w:eastAsia="zh-CN"/>
        </w:rPr>
        <w:t>For the legacy co-location reference antenna, the received power at sub-array of AAS BS should be Ptx+G_Tx_CLTA -Coupling_loss+G_Rx_sub_array</w:t>
      </w:r>
    </w:p>
    <w:p w14:paraId="0980DC48">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65600" cy="2153285"/>
            <wp:effectExtent l="0" t="0" r="6350" b="1841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7"/>
                    <a:stretch>
                      <a:fillRect/>
                    </a:stretch>
                  </pic:blipFill>
                  <pic:spPr>
                    <a:xfrm>
                      <a:off x="0" y="0"/>
                      <a:ext cx="4165600" cy="2153285"/>
                    </a:xfrm>
                    <a:prstGeom prst="rect">
                      <a:avLst/>
                    </a:prstGeom>
                    <a:noFill/>
                    <a:ln w="9525">
                      <a:noFill/>
                    </a:ln>
                  </pic:spPr>
                </pic:pic>
              </a:graphicData>
            </a:graphic>
          </wp:inline>
        </w:drawing>
      </w:r>
    </w:p>
    <w:p w14:paraId="069C25BC">
      <w:pPr>
        <w:tabs>
          <w:tab w:val="left" w:pos="2127"/>
        </w:tabs>
        <w:spacing w:after="0"/>
        <w:jc w:val="center"/>
        <w:rPr>
          <w:rFonts w:hint="eastAsia"/>
          <w:lang w:val="en-US" w:eastAsia="zh-CN"/>
        </w:rPr>
      </w:pPr>
      <w:r>
        <w:rPr>
          <w:rFonts w:hint="eastAsia"/>
          <w:lang w:val="en-US" w:eastAsia="zh-CN"/>
        </w:rPr>
        <w:t>Figure 2.3-4 the proposed new co-location reference antenna for Tx intermodulation and co-location OOBB requirement</w:t>
      </w:r>
    </w:p>
    <w:p w14:paraId="1FE91F3B">
      <w:pPr>
        <w:tabs>
          <w:tab w:val="left" w:pos="2127"/>
        </w:tabs>
        <w:spacing w:after="0"/>
        <w:jc w:val="center"/>
        <w:rPr>
          <w:rFonts w:hint="eastAsia"/>
          <w:lang w:val="en-US" w:eastAsia="zh-CN"/>
        </w:rPr>
      </w:pPr>
    </w:p>
    <w:p w14:paraId="2F6947BA">
      <w:pPr>
        <w:tabs>
          <w:tab w:val="left" w:pos="2127"/>
        </w:tabs>
        <w:spacing w:after="0"/>
        <w:jc w:val="both"/>
        <w:rPr>
          <w:rFonts w:hint="default"/>
          <w:lang w:val="en-US" w:eastAsia="zh-CN"/>
        </w:rPr>
      </w:pPr>
      <w:r>
        <w:rPr>
          <w:rFonts w:hint="eastAsia"/>
          <w:lang w:val="en-US" w:eastAsia="zh-CN"/>
        </w:rPr>
        <w:t xml:space="preserve">For the proposed new co-location reference antenna for FR1 high bands, received power at sub-array of AAS BS should be Ptx+G_Tx_AAS -Coupling_loss+G_Rx_sub_array. </w:t>
      </w:r>
    </w:p>
    <w:p w14:paraId="4F4529EC">
      <w:pPr>
        <w:tabs>
          <w:tab w:val="left" w:pos="2127"/>
        </w:tabs>
        <w:spacing w:after="0"/>
        <w:jc w:val="both"/>
        <w:rPr>
          <w:rFonts w:hint="default"/>
          <w:lang w:val="en-US" w:eastAsia="zh-CN"/>
        </w:rPr>
      </w:pPr>
      <w:r>
        <w:rPr>
          <w:rFonts w:hint="eastAsia"/>
          <w:lang w:val="en-US" w:eastAsia="zh-CN"/>
        </w:rPr>
        <w:t xml:space="preserve">The main difference for Tx intermodulation and co-location reference antenna would be G_Tx_CLTA and G_Tx_AAS antenna pattern. These two passive antenna and AAS BS pattern would be quite different. G_Tx_CLTA should provide much more stringent requirement for it since it provides the much wider beam in azimuth plane towards the victim AAS BS with narrow beam. In other words, from Tx intermodulation and co-location OOBB requirement, it seems that the legacy CLTA requirement would provide more stringent conformance testing for it. </w:t>
      </w:r>
    </w:p>
    <w:p w14:paraId="3BE0B943">
      <w:pPr>
        <w:tabs>
          <w:tab w:val="left" w:pos="2127"/>
        </w:tabs>
        <w:spacing w:after="0"/>
        <w:jc w:val="both"/>
        <w:rPr>
          <w:rFonts w:hint="default"/>
          <w:lang w:val="en-US" w:eastAsia="zh-CN"/>
        </w:rPr>
      </w:pPr>
      <w:r>
        <w:rPr>
          <w:rFonts w:hint="eastAsia"/>
          <w:b/>
          <w:bCs/>
          <w:lang w:val="en-US" w:eastAsia="zh-CN"/>
        </w:rPr>
        <w:t>Observation 6</w:t>
      </w:r>
      <w:r>
        <w:rPr>
          <w:rFonts w:hint="eastAsia"/>
          <w:lang w:val="en-US" w:eastAsia="zh-CN"/>
        </w:rPr>
        <w:t xml:space="preserve">: These two passive antenna and AAS BS pattern would be quite different, from Tx intermodulation and co-location OOBB requirement, it seems that the legacy CLTA requirement would provide more stringent conformance testing for it. </w:t>
      </w:r>
    </w:p>
    <w:bookmarkEnd w:id="1"/>
    <w:bookmarkEnd w:id="2"/>
    <w:bookmarkEnd w:id="3"/>
    <w:bookmarkEnd w:id="4"/>
    <w:p w14:paraId="57A50220">
      <w:pPr>
        <w:pStyle w:val="57"/>
        <w:tabs>
          <w:tab w:val="left" w:pos="567"/>
          <w:tab w:val="clear" w:pos="1985"/>
        </w:tabs>
        <w:adjustRightInd w:val="0"/>
        <w:ind w:left="510" w:hanging="510"/>
      </w:pPr>
      <w:r>
        <w:t>Conclusions</w:t>
      </w:r>
    </w:p>
    <w:p w14:paraId="73E4E308">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co-location reference antenna concept in RAN4 and proposals are made as following: </w:t>
      </w:r>
    </w:p>
    <w:p w14:paraId="1690A15F">
      <w:pPr>
        <w:tabs>
          <w:tab w:val="left" w:pos="2127"/>
        </w:tabs>
        <w:spacing w:after="0"/>
        <w:rPr>
          <w:rFonts w:hint="eastAsia"/>
          <w:lang w:val="en-US" w:eastAsia="zh-CN"/>
        </w:rPr>
      </w:pPr>
      <w:r>
        <w:rPr>
          <w:rFonts w:hint="eastAsia"/>
          <w:b/>
          <w:bCs/>
          <w:lang w:val="en-US" w:eastAsia="zh-CN"/>
        </w:rPr>
        <w:t>Observation 1</w:t>
      </w:r>
      <w:r>
        <w:rPr>
          <w:rFonts w:hint="eastAsia"/>
          <w:lang w:val="en-US" w:eastAsia="zh-CN"/>
        </w:rPr>
        <w:t>:if two NR AAS BS are placed with vertical separation which is quite typical for the mast installation, then the coupling loss between sub-array would be larger than 50dB with10cm separation distance.</w:t>
      </w:r>
    </w:p>
    <w:p w14:paraId="276D678D">
      <w:pPr>
        <w:tabs>
          <w:tab w:val="left" w:pos="2127"/>
        </w:tabs>
        <w:spacing w:after="0"/>
        <w:rPr>
          <w:rFonts w:hint="eastAsia"/>
          <w:lang w:val="en-US" w:eastAsia="zh-CN"/>
        </w:rPr>
      </w:pPr>
      <w:r>
        <w:rPr>
          <w:rFonts w:hint="eastAsia"/>
          <w:b/>
          <w:bCs/>
          <w:lang w:val="en-US" w:eastAsia="zh-CN"/>
        </w:rPr>
        <w:t>Observation 2</w:t>
      </w:r>
      <w:r>
        <w:rPr>
          <w:rFonts w:hint="eastAsia"/>
          <w:lang w:val="en-US" w:eastAsia="zh-CN"/>
        </w:rPr>
        <w:t>: if two NR BS are placed with horizontal separation which is typical for roof based installation, the coupling loss is still larger than 30dBc and the coupling loss among different antenna ports are varying from 31dB to 46dBc.</w:t>
      </w:r>
    </w:p>
    <w:p w14:paraId="3B669368">
      <w:pPr>
        <w:tabs>
          <w:tab w:val="left" w:pos="2127"/>
        </w:tabs>
        <w:spacing w:after="0"/>
        <w:rPr>
          <w:rFonts w:hint="eastAsia"/>
          <w:highlight w:val="none"/>
          <w:lang w:val="en-US" w:eastAsia="zh-CN"/>
        </w:rPr>
      </w:pPr>
      <w:r>
        <w:rPr>
          <w:rFonts w:hint="eastAsia"/>
          <w:b/>
          <w:bCs/>
          <w:lang w:val="en-US" w:eastAsia="zh-CN"/>
        </w:rPr>
        <w:t>Observation 3</w:t>
      </w:r>
      <w:r>
        <w:rPr>
          <w:rFonts w:hint="eastAsia"/>
          <w:lang w:val="en-US" w:eastAsia="zh-CN"/>
        </w:rPr>
        <w:t xml:space="preserve">: the observed </w:t>
      </w:r>
      <w:r>
        <w:rPr>
          <w:rFonts w:hint="eastAsia"/>
          <w:highlight w:val="none"/>
          <w:lang w:val="en-US" w:eastAsia="zh-CN"/>
        </w:rPr>
        <w:t>MCL between 4.9GHz vs 4.9GHz BS could be up to 91dBc.</w:t>
      </w:r>
    </w:p>
    <w:p w14:paraId="18630D61">
      <w:pPr>
        <w:tabs>
          <w:tab w:val="left" w:pos="2127"/>
        </w:tabs>
        <w:spacing w:after="0"/>
        <w:rPr>
          <w:rFonts w:hint="eastAsia"/>
          <w:lang w:val="en-US" w:eastAsia="zh-CN"/>
        </w:rPr>
      </w:pPr>
      <w:r>
        <w:rPr>
          <w:rFonts w:hint="eastAsia"/>
          <w:b/>
          <w:bCs/>
          <w:lang w:val="en-US" w:eastAsia="zh-CN"/>
        </w:rPr>
        <w:t>Observation 4</w:t>
      </w:r>
      <w:r>
        <w:rPr>
          <w:rFonts w:hint="eastAsia"/>
          <w:lang w:val="en-US" w:eastAsia="zh-CN"/>
        </w:rPr>
        <w:t xml:space="preserve">: </w:t>
      </w:r>
      <w:r>
        <w:rPr>
          <w:rFonts w:hint="eastAsia"/>
          <w:highlight w:val="none"/>
          <w:lang w:val="en-US" w:eastAsia="zh-CN"/>
        </w:rPr>
        <w:t xml:space="preserve">MCL between 4.9GHz and 3.5GHz BS cannot been observed since the additional interference caused by 4.9GHz BS toward 3.5GHz BS receiver is almost negligible. </w:t>
      </w:r>
    </w:p>
    <w:p w14:paraId="33779991">
      <w:pPr>
        <w:tabs>
          <w:tab w:val="left" w:pos="2127"/>
        </w:tabs>
        <w:spacing w:after="0"/>
        <w:rPr>
          <w:rFonts w:hint="eastAsia"/>
          <w:lang w:val="en-US" w:eastAsia="zh-CN"/>
        </w:rPr>
      </w:pPr>
      <w:r>
        <w:rPr>
          <w:rFonts w:hint="eastAsia"/>
          <w:b/>
          <w:bCs/>
          <w:lang w:val="en-US" w:eastAsia="zh-CN"/>
        </w:rPr>
        <w:t>Observation 5</w:t>
      </w:r>
      <w:r>
        <w:rPr>
          <w:rFonts w:hint="eastAsia"/>
          <w:lang w:val="en-US" w:eastAsia="zh-CN"/>
        </w:rPr>
        <w:t xml:space="preserve">:if MCL is assumed as 60dBc, the </w:t>
      </w:r>
      <w:r>
        <w:rPr>
          <w:rFonts w:hint="eastAsia"/>
          <w:highlight w:val="none"/>
          <w:lang w:val="en-US" w:eastAsia="zh-CN"/>
        </w:rPr>
        <w:t>additional unwanted emission caused by TxM is 20dB lower than Cat B spurious emission -30dBm/MHz.</w:t>
      </w:r>
    </w:p>
    <w:p w14:paraId="4AF946AF">
      <w:pPr>
        <w:pStyle w:val="48"/>
        <w:numPr>
          <w:ilvl w:val="0"/>
          <w:numId w:val="0"/>
        </w:numPr>
        <w:bidi w:val="0"/>
        <w:ind w:leftChars="0"/>
        <w:rPr>
          <w:rFonts w:hint="default"/>
          <w:lang w:val="en-US" w:eastAsia="zh-CN"/>
        </w:rPr>
      </w:pPr>
      <w:r>
        <w:rPr>
          <w:rFonts w:hint="eastAsia"/>
          <w:b/>
          <w:bCs/>
          <w:lang w:val="en-US" w:eastAsia="zh-CN"/>
        </w:rPr>
        <w:t>Proposal 1:</w:t>
      </w:r>
      <w:r>
        <w:rPr>
          <w:rFonts w:hint="eastAsia"/>
          <w:lang w:val="en-US" w:eastAsia="zh-CN"/>
        </w:rPr>
        <w:t xml:space="preserve"> if RAN4 agrees to focus on the MCL analysis within the same band in Rel-19, propose to consider  Tx OFF power and Tx IMD requirement only.</w:t>
      </w:r>
    </w:p>
    <w:p w14:paraId="2250D7A7">
      <w:pPr>
        <w:tabs>
          <w:tab w:val="left" w:pos="2127"/>
        </w:tabs>
        <w:spacing w:after="0"/>
        <w:jc w:val="both"/>
        <w:rPr>
          <w:rFonts w:hint="eastAsia" w:eastAsiaTheme="minorEastAsia"/>
          <w:lang w:val="en-US" w:eastAsia="zh-CN"/>
        </w:rPr>
      </w:pPr>
      <w:r>
        <w:rPr>
          <w:rFonts w:hint="eastAsia"/>
          <w:b/>
          <w:bCs/>
          <w:lang w:val="en-US" w:eastAsia="zh-CN"/>
        </w:rPr>
        <w:t>Observation 5</w:t>
      </w:r>
      <w:r>
        <w:rPr>
          <w:rFonts w:hint="eastAsia"/>
          <w:lang w:val="en-US" w:eastAsia="zh-CN"/>
        </w:rPr>
        <w:t xml:space="preserve">: These two received gain for passive antenna of CLTA and AAS sub-array would be quite different. In other words, the measured spurious emission or transmitter OFF power from CLTA cannot be reused or applicable for AAS BS co-locating with AAS BS at sub-array level. </w:t>
      </w:r>
    </w:p>
    <w:p w14:paraId="169D5937">
      <w:pPr>
        <w:tabs>
          <w:tab w:val="left" w:pos="2127"/>
        </w:tabs>
        <w:spacing w:after="0"/>
        <w:jc w:val="both"/>
        <w:rPr>
          <w:rFonts w:hint="eastAsia" w:eastAsiaTheme="minorEastAsia"/>
          <w:lang w:val="en-US" w:eastAsia="zh-CN"/>
        </w:rPr>
      </w:pPr>
      <w:r>
        <w:rPr>
          <w:rFonts w:hint="eastAsia"/>
          <w:b/>
          <w:bCs/>
          <w:lang w:val="en-US" w:eastAsia="zh-CN"/>
        </w:rPr>
        <w:t>Observation 6</w:t>
      </w:r>
      <w:r>
        <w:rPr>
          <w:rFonts w:hint="eastAsia"/>
          <w:lang w:val="en-US" w:eastAsia="zh-CN"/>
        </w:rPr>
        <w:t xml:space="preserve">: These two passive antenna and AAS BS pattern would be quite different, from Tx intermodulation and co-location OOBB requirement, it seems that the legacy CLTA requirement would provide more stringent conformance testing for it. </w:t>
      </w:r>
    </w:p>
    <w:p w14:paraId="0D9EEAE9">
      <w:pPr>
        <w:pStyle w:val="57"/>
        <w:tabs>
          <w:tab w:val="left" w:pos="567"/>
          <w:tab w:val="clear" w:pos="1985"/>
        </w:tabs>
        <w:adjustRightInd w:val="0"/>
        <w:ind w:left="510" w:hanging="510"/>
      </w:pPr>
      <w:r>
        <w:t>References</w:t>
      </w:r>
    </w:p>
    <w:p w14:paraId="2D08359B">
      <w:pPr>
        <w:pStyle w:val="55"/>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rPr>
        <w:t>RP-240829</w:t>
      </w:r>
      <w:r>
        <w:rPr>
          <w:rFonts w:hint="eastAsia"/>
          <w:sz w:val="20"/>
          <w:szCs w:val="20"/>
          <w:lang w:val="en-US" w:eastAsia="zh-CN"/>
        </w:rPr>
        <w:t>,New WID: WI resulting from discussion on BS RF requirement evolution, Approved.</w:t>
      </w:r>
    </w:p>
    <w:p w14:paraId="059DB969">
      <w:pPr>
        <w:pStyle w:val="55"/>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rPr>
        <w:fldChar w:fldCharType="begin"/>
      </w:r>
      <w:r>
        <w:rPr>
          <w:rFonts w:hint="eastAsia"/>
          <w:sz w:val="20"/>
          <w:szCs w:val="20"/>
        </w:rPr>
        <w:instrText xml:space="preserve"> HYPERLINK "https://www.3gpp.org/ftp/TSG_RAN/WG4_Radio/TSGR4_109/Docs/R4-2319398.zip" \t "https://portal.3gpp.org/ngppapp/_blank" </w:instrText>
      </w:r>
      <w:r>
        <w:rPr>
          <w:rFonts w:hint="eastAsia"/>
          <w:sz w:val="20"/>
          <w:szCs w:val="20"/>
        </w:rPr>
        <w:fldChar w:fldCharType="separate"/>
      </w:r>
      <w:r>
        <w:rPr>
          <w:rFonts w:hint="default"/>
          <w:sz w:val="20"/>
          <w:szCs w:val="20"/>
        </w:rPr>
        <w:t>R4-2319398</w:t>
      </w:r>
      <w:r>
        <w:rPr>
          <w:rFonts w:hint="default"/>
          <w:sz w:val="20"/>
          <w:szCs w:val="20"/>
        </w:rPr>
        <w:fldChar w:fldCharType="end"/>
      </w:r>
      <w:r>
        <w:rPr>
          <w:rFonts w:hint="eastAsia"/>
          <w:sz w:val="20"/>
          <w:szCs w:val="20"/>
          <w:lang w:val="en-US" w:eastAsia="zh-CN"/>
        </w:rPr>
        <w:t xml:space="preserve">, </w:t>
      </w:r>
      <w:r>
        <w:rPr>
          <w:rFonts w:hint="eastAsia"/>
          <w:sz w:val="20"/>
          <w:szCs w:val="20"/>
        </w:rPr>
        <w:t>Background and technical challenges with BS RF co-location requirements in relation to development of NCR RF co-location requirements</w:t>
      </w:r>
      <w:r>
        <w:rPr>
          <w:rFonts w:hint="eastAsia"/>
          <w:sz w:val="20"/>
          <w:szCs w:val="20"/>
          <w:lang w:val="en-US" w:eastAsia="zh-CN"/>
        </w:rPr>
        <w:t>, Ericsson, Noted</w:t>
      </w:r>
    </w:p>
    <w:p w14:paraId="7CC3EE6C">
      <w:pPr>
        <w:pStyle w:val="55"/>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rPr>
      </w:pPr>
      <w:r>
        <w:rPr>
          <w:rFonts w:hint="default"/>
          <w:sz w:val="20"/>
          <w:szCs w:val="20"/>
          <w:lang w:val="en-US" w:eastAsia="en-US"/>
        </w:rPr>
        <w:t>R4-1703389, “On BS to BS co-location/co-siting background”, Ericsson</w:t>
      </w:r>
    </w:p>
    <w:p w14:paraId="1C5F67B8">
      <w:pPr>
        <w:pStyle w:val="55"/>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lang w:val="en-US" w:eastAsia="en-US"/>
        </w:rPr>
        <w:t>R4-1706766</w:t>
      </w:r>
      <w:r>
        <w:rPr>
          <w:rFonts w:hint="eastAsia"/>
          <w:sz w:val="20"/>
          <w:szCs w:val="20"/>
          <w:lang w:val="en-US" w:eastAsia="zh-CN"/>
        </w:rPr>
        <w:t>,</w:t>
      </w:r>
      <w:bookmarkStart w:id="8" w:name="OLE_LINK1"/>
      <w:r>
        <w:rPr>
          <w:rFonts w:hint="eastAsia"/>
          <w:sz w:val="20"/>
          <w:szCs w:val="20"/>
          <w:lang w:val="en-US" w:eastAsia="en-US"/>
        </w:rPr>
        <w:t>Co-location isolation between different frequency bands</w:t>
      </w:r>
      <w:bookmarkEnd w:id="8"/>
      <w:r>
        <w:rPr>
          <w:rFonts w:hint="eastAsia"/>
          <w:sz w:val="20"/>
          <w:szCs w:val="20"/>
          <w:lang w:val="en-US" w:eastAsia="zh-CN"/>
        </w:rPr>
        <w:t>, Ericsson, Noted</w:t>
      </w:r>
    </w:p>
    <w:p w14:paraId="726B4045">
      <w:pPr>
        <w:pStyle w:val="55"/>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ascii="Times New Roman" w:hAnsi="Times New Roman"/>
          <w:b w:val="0"/>
          <w:sz w:val="20"/>
          <w:szCs w:val="20"/>
        </w:rPr>
        <w:t>R4-2406088</w:t>
      </w:r>
      <w:r>
        <w:rPr>
          <w:rFonts w:hint="eastAsia" w:ascii="Times New Roman" w:hAnsi="Times New Roman"/>
          <w:b w:val="0"/>
          <w:sz w:val="20"/>
          <w:szCs w:val="20"/>
          <w:lang w:val="en-US" w:eastAsia="zh-CN"/>
        </w:rPr>
        <w:t>,</w:t>
      </w:r>
      <w:r>
        <w:rPr>
          <w:rFonts w:hint="eastAsia" w:ascii="Times New Roman" w:hAnsi="Times New Roman"/>
          <w:b w:val="0"/>
          <w:sz w:val="20"/>
          <w:szCs w:val="20"/>
        </w:rPr>
        <w:t>Way Forward for [110bis][311] NR_BS_RF</w:t>
      </w:r>
      <w:r>
        <w:rPr>
          <w:rFonts w:hint="eastAsia" w:ascii="Times New Roman" w:hAnsi="Times New Roman"/>
          <w:b w:val="0"/>
          <w:sz w:val="20"/>
          <w:szCs w:val="20"/>
          <w:lang w:val="en-US" w:eastAsia="zh-CN"/>
        </w:rPr>
        <w:t>, ZTE, approved.</w:t>
      </w:r>
    </w:p>
    <w:p w14:paraId="1748F924">
      <w:pPr>
        <w:pStyle w:val="55"/>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default"/>
          <w:sz w:val="20"/>
          <w:szCs w:val="20"/>
          <w:lang w:val="en-US" w:eastAsia="zh-CN"/>
        </w:rPr>
        <w:fldChar w:fldCharType="begin"/>
      </w:r>
      <w:r>
        <w:rPr>
          <w:rFonts w:hint="default"/>
          <w:sz w:val="20"/>
          <w:szCs w:val="20"/>
          <w:lang w:val="en-US" w:eastAsia="zh-CN"/>
        </w:rPr>
        <w:instrText xml:space="preserve"> HYPERLINK "https://www.3gpp.org/ftp/TSG_RAN/WG4_Radio/TSGR4_110bis/Docs/R4-2404259.zip" </w:instrText>
      </w:r>
      <w:r>
        <w:rPr>
          <w:rFonts w:hint="default"/>
          <w:sz w:val="20"/>
          <w:szCs w:val="20"/>
          <w:lang w:val="en-US" w:eastAsia="zh-CN"/>
        </w:rPr>
        <w:fldChar w:fldCharType="separate"/>
      </w:r>
      <w:r>
        <w:rPr>
          <w:rFonts w:hint="default"/>
          <w:sz w:val="20"/>
          <w:szCs w:val="20"/>
          <w:lang w:val="en-US" w:eastAsia="en-US"/>
        </w:rPr>
        <w:t>R4-2404259</w:t>
      </w:r>
      <w:r>
        <w:rPr>
          <w:rFonts w:hint="default"/>
          <w:sz w:val="20"/>
          <w:szCs w:val="20"/>
          <w:lang w:val="en-US" w:eastAsia="zh-CN"/>
        </w:rPr>
        <w:fldChar w:fldCharType="end"/>
      </w:r>
      <w:r>
        <w:rPr>
          <w:rFonts w:hint="eastAsia"/>
          <w:sz w:val="20"/>
          <w:szCs w:val="20"/>
          <w:lang w:val="en-US" w:eastAsia="zh-CN"/>
        </w:rPr>
        <w:t>,</w:t>
      </w:r>
      <w:r>
        <w:rPr>
          <w:rFonts w:hint="default"/>
          <w:sz w:val="20"/>
          <w:szCs w:val="20"/>
          <w:lang w:val="en-US" w:eastAsia="zh-CN"/>
        </w:rPr>
        <w:t>OTA test enhancements - CLTA</w:t>
      </w:r>
      <w:r>
        <w:rPr>
          <w:rFonts w:hint="eastAsia"/>
          <w:sz w:val="20"/>
          <w:szCs w:val="20"/>
          <w:lang w:val="en-US" w:eastAsia="zh-CN"/>
        </w:rPr>
        <w:t>, Nokia</w:t>
      </w:r>
    </w:p>
    <w:p w14:paraId="3034F03F">
      <w:pPr>
        <w:pStyle w:val="55"/>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eastAsia"/>
          <w:sz w:val="20"/>
          <w:szCs w:val="20"/>
          <w:lang w:val="en-US" w:eastAsia="zh-CN"/>
        </w:rPr>
        <w:t>R4-2409955, Way forward for [111][311] NR_BS_RF, Approved.</w:t>
      </w:r>
    </w:p>
    <w:p w14:paraId="4697AEA4">
      <w:pPr>
        <w:pStyle w:val="55"/>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eastAsia"/>
          <w:sz w:val="20"/>
          <w:szCs w:val="20"/>
          <w:lang w:val="en-US" w:eastAsia="en-US"/>
        </w:rPr>
        <w:t>R4-2416574</w:t>
      </w:r>
      <w:r>
        <w:rPr>
          <w:rFonts w:hint="eastAsia"/>
          <w:sz w:val="20"/>
          <w:szCs w:val="20"/>
          <w:lang w:val="en-US" w:eastAsia="zh-CN"/>
        </w:rPr>
        <w:t>,</w:t>
      </w:r>
      <w:r>
        <w:rPr>
          <w:rFonts w:hint="eastAsia"/>
          <w:sz w:val="20"/>
          <w:szCs w:val="20"/>
          <w:lang w:val="en-US" w:eastAsia="en-US"/>
        </w:rPr>
        <w:t>Way Forward for [112bis][303] NR_BS_RF_Part2_CLTA</w:t>
      </w:r>
      <w:r>
        <w:rPr>
          <w:rFonts w:hint="eastAsia"/>
          <w:sz w:val="20"/>
          <w:szCs w:val="20"/>
          <w:lang w:val="en-US" w:eastAsia="zh-CN"/>
        </w:rPr>
        <w:t>, Huawei, approved.</w:t>
      </w:r>
    </w:p>
    <w:p w14:paraId="660611D0">
      <w:pPr>
        <w:pStyle w:val="55"/>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eastAsia"/>
          <w:sz w:val="20"/>
          <w:szCs w:val="20"/>
          <w:lang w:val="en-US" w:eastAsia="en-US"/>
        </w:rPr>
        <w:t>R4-2419797</w:t>
      </w:r>
      <w:r>
        <w:rPr>
          <w:rFonts w:hint="eastAsia"/>
          <w:sz w:val="20"/>
          <w:szCs w:val="20"/>
          <w:lang w:val="en-US" w:eastAsia="zh-CN"/>
        </w:rPr>
        <w:t>,</w:t>
      </w:r>
      <w:r>
        <w:rPr>
          <w:rFonts w:hint="eastAsia"/>
          <w:sz w:val="20"/>
          <w:szCs w:val="20"/>
          <w:lang w:val="en-US" w:eastAsia="en-US"/>
        </w:rPr>
        <w:t>Way Forward for [113][303] NR_BS_RF_Part2_CLTA</w:t>
      </w:r>
      <w:r>
        <w:rPr>
          <w:rFonts w:hint="eastAsia"/>
          <w:sz w:val="20"/>
          <w:szCs w:val="20"/>
          <w:lang w:val="en-US" w:eastAsia="zh-CN"/>
        </w:rPr>
        <w:t>, Approved</w:t>
      </w:r>
    </w:p>
    <w:p w14:paraId="2D5F1913">
      <w:pPr>
        <w:pStyle w:val="55"/>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eastAsia"/>
          <w:sz w:val="20"/>
          <w:szCs w:val="20"/>
          <w:lang w:val="en-US" w:eastAsia="en-US"/>
        </w:rPr>
        <w:t>RP-243270</w:t>
      </w:r>
      <w:r>
        <w:rPr>
          <w:rFonts w:hint="eastAsia"/>
          <w:sz w:val="20"/>
          <w:szCs w:val="20"/>
          <w:lang w:val="en-US" w:eastAsia="zh-CN"/>
        </w:rPr>
        <w:t>,Revised WID: NR base station (BS) RF requirement evolution for FR1/FR2 and testing, approved.</w:t>
      </w:r>
    </w:p>
    <w:p w14:paraId="60C01A44">
      <w:pPr>
        <w:pStyle w:val="55"/>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eastAsia"/>
          <w:sz w:val="20"/>
          <w:szCs w:val="20"/>
          <w:lang w:val="en-US" w:eastAsia="en-US"/>
        </w:rPr>
        <w:t>R4-2502279</w:t>
      </w:r>
      <w:r>
        <w:rPr>
          <w:rFonts w:hint="eastAsia"/>
          <w:sz w:val="20"/>
          <w:szCs w:val="20"/>
          <w:lang w:val="en-US" w:eastAsia="zh-CN"/>
        </w:rPr>
        <w:t xml:space="preserve">, </w:t>
      </w:r>
      <w:r>
        <w:rPr>
          <w:rFonts w:hint="eastAsia"/>
          <w:sz w:val="20"/>
          <w:szCs w:val="20"/>
          <w:lang w:val="en-US" w:eastAsia="en-US"/>
        </w:rPr>
        <w:t>Way Forward for [114][303] NR_BS_RF_Part2_CLTA</w:t>
      </w:r>
      <w:r>
        <w:rPr>
          <w:rFonts w:hint="eastAsia"/>
          <w:sz w:val="20"/>
          <w:szCs w:val="20"/>
          <w:lang w:val="en-US" w:eastAsia="zh-CN"/>
        </w:rPr>
        <w:t>, Huawei, approved.</w:t>
      </w:r>
    </w:p>
    <w:p w14:paraId="02150FBF">
      <w:pPr>
        <w:pStyle w:val="55"/>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Style w:val="30"/>
          <w:rFonts w:ascii="Times New Roman" w:hAnsi="Times New Roman" w:cs="Times New Roman"/>
          <w:color w:val="auto"/>
          <w:sz w:val="21"/>
          <w:szCs w:val="21"/>
          <w:shd w:val="clear" w:color="auto" w:fill="FFFFFF"/>
        </w:rPr>
      </w:pPr>
      <w:r>
        <w:rPr>
          <w:rFonts w:hint="eastAsia"/>
          <w:sz w:val="20"/>
          <w:szCs w:val="20"/>
          <w:lang w:val="en-US" w:eastAsia="en-US"/>
        </w:rPr>
        <w:t>R4-2504701</w:t>
      </w:r>
      <w:r>
        <w:rPr>
          <w:rFonts w:hint="eastAsia"/>
          <w:sz w:val="20"/>
          <w:szCs w:val="20"/>
          <w:lang w:val="en-US" w:eastAsia="zh-CN"/>
        </w:rPr>
        <w:t>,</w:t>
      </w:r>
      <w:r>
        <w:rPr>
          <w:rFonts w:hint="eastAsia"/>
          <w:sz w:val="20"/>
          <w:szCs w:val="20"/>
          <w:lang w:val="en-US" w:eastAsia="en-US"/>
        </w:rPr>
        <w:t>Way Forward for [114bis][303] NR_BS_RF_Part2_CLTA</w:t>
      </w:r>
      <w:r>
        <w:rPr>
          <w:rFonts w:hint="eastAsia"/>
          <w:sz w:val="20"/>
          <w:szCs w:val="20"/>
          <w:lang w:val="en-US" w:eastAsia="zh-CN"/>
        </w:rPr>
        <w:t>, Approved.</w:t>
      </w: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10900">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AB1AC"/>
    <w:multiLevelType w:val="singleLevel"/>
    <w:tmpl w:val="821AB1AC"/>
    <w:lvl w:ilvl="0" w:tentative="0">
      <w:start w:val="1"/>
      <w:numFmt w:val="bullet"/>
      <w:lvlText w:val=""/>
      <w:lvlJc w:val="left"/>
      <w:pPr>
        <w:ind w:left="420" w:hanging="420"/>
      </w:pPr>
      <w:rPr>
        <w:rFonts w:hint="default" w:ascii="Wingdings" w:hAnsi="Wingdings"/>
      </w:rPr>
    </w:lvl>
  </w:abstractNum>
  <w:abstractNum w:abstractNumId="1">
    <w:nsid w:val="A2C05BB9"/>
    <w:multiLevelType w:val="singleLevel"/>
    <w:tmpl w:val="A2C05BB9"/>
    <w:lvl w:ilvl="0" w:tentative="0">
      <w:start w:val="1"/>
      <w:numFmt w:val="bullet"/>
      <w:lvlText w:val="‒"/>
      <w:lvlJc w:val="left"/>
      <w:pPr>
        <w:ind w:left="420" w:leftChars="0" w:hanging="420" w:firstLineChars="0"/>
      </w:pPr>
      <w:rPr>
        <w:rFonts w:hint="default" w:ascii="Arial" w:hAnsi="Arial" w:cs="Arial"/>
      </w:rPr>
    </w:lvl>
  </w:abstractNum>
  <w:abstractNum w:abstractNumId="2">
    <w:nsid w:val="DC7EF559"/>
    <w:multiLevelType w:val="singleLevel"/>
    <w:tmpl w:val="DC7EF559"/>
    <w:lvl w:ilvl="0" w:tentative="0">
      <w:start w:val="1"/>
      <w:numFmt w:val="decimal"/>
      <w:suff w:val="space"/>
      <w:lvlText w:val="%1)"/>
      <w:lvlJc w:val="left"/>
    </w:lvl>
  </w:abstractNum>
  <w:abstractNum w:abstractNumId="3">
    <w:nsid w:val="DFAE1895"/>
    <w:multiLevelType w:val="singleLevel"/>
    <w:tmpl w:val="DFAE1895"/>
    <w:lvl w:ilvl="0" w:tentative="0">
      <w:start w:val="1"/>
      <w:numFmt w:val="decimal"/>
      <w:suff w:val="space"/>
      <w:lvlText w:val="[%1]"/>
      <w:lvlJc w:val="left"/>
    </w:lvl>
  </w:abstractNum>
  <w:abstractNum w:abstractNumId="4">
    <w:nsid w:val="00FF5E7B"/>
    <w:multiLevelType w:val="multilevel"/>
    <w:tmpl w:val="00FF5E7B"/>
    <w:lvl w:ilvl="0" w:tentative="0">
      <w:start w:val="1"/>
      <w:numFmt w:val="decimal"/>
      <w:pStyle w:val="109"/>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5">
    <w:nsid w:val="4A310120"/>
    <w:multiLevelType w:val="multilevel"/>
    <w:tmpl w:val="4A310120"/>
    <w:lvl w:ilvl="0" w:tentative="0">
      <w:start w:val="1"/>
      <w:numFmt w:val="decimal"/>
      <w:pStyle w:val="110"/>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8A78005"/>
    <w:multiLevelType w:val="singleLevel"/>
    <w:tmpl w:val="68A78005"/>
    <w:lvl w:ilvl="0" w:tentative="0">
      <w:start w:val="1"/>
      <w:numFmt w:val="decimal"/>
      <w:suff w:val="space"/>
      <w:lvlText w:val="%1)"/>
      <w:lvlJc w:val="left"/>
    </w:lvl>
  </w:abstractNum>
  <w:abstractNum w:abstractNumId="9">
    <w:nsid w:val="7A8E6381"/>
    <w:multiLevelType w:val="multilevel"/>
    <w:tmpl w:val="7A8E6381"/>
    <w:lvl w:ilvl="0" w:tentative="0">
      <w:start w:val="3"/>
      <w:numFmt w:val="bullet"/>
      <w:lvlText w:val="-"/>
      <w:lvlJc w:val="left"/>
      <w:pPr>
        <w:ind w:left="720" w:hanging="360"/>
      </w:pPr>
      <w:rPr>
        <w:rFonts w:hint="default" w:ascii="Times New Roman" w:hAnsi="Times New Roman" w:eastAsia="Times New Roman" w:cs="Times New Roman"/>
        <w:color w:val="000000" w:themeColor="text1"/>
        <w14:textFill>
          <w14:solidFill>
            <w14:schemeClr w14:val="tx1"/>
          </w14:solidFill>
        </w14:textFil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4"/>
  </w:num>
  <w:num w:numId="3">
    <w:abstractNumId w:val="5"/>
  </w:num>
  <w:num w:numId="4">
    <w:abstractNumId w:val="6"/>
  </w:num>
  <w:num w:numId="5">
    <w:abstractNumId w:val="9"/>
  </w:num>
  <w:num w:numId="6">
    <w:abstractNumId w:val="2"/>
  </w:num>
  <w:num w:numId="7">
    <w:abstractNumId w:val="0"/>
  </w:num>
  <w:num w:numId="8">
    <w:abstractNumId w:val="1"/>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2CDB"/>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7B54CB"/>
    <w:rsid w:val="03822F79"/>
    <w:rsid w:val="038B3715"/>
    <w:rsid w:val="039568DC"/>
    <w:rsid w:val="0395764C"/>
    <w:rsid w:val="039B69FD"/>
    <w:rsid w:val="03A32E58"/>
    <w:rsid w:val="03AC2829"/>
    <w:rsid w:val="03B728E0"/>
    <w:rsid w:val="03BD03F7"/>
    <w:rsid w:val="03C0647A"/>
    <w:rsid w:val="03C20E03"/>
    <w:rsid w:val="03C4766B"/>
    <w:rsid w:val="03C6618A"/>
    <w:rsid w:val="03C80D80"/>
    <w:rsid w:val="03CD06E1"/>
    <w:rsid w:val="03CD6E1F"/>
    <w:rsid w:val="03CF6F0E"/>
    <w:rsid w:val="03D077B2"/>
    <w:rsid w:val="03D2121B"/>
    <w:rsid w:val="03D26405"/>
    <w:rsid w:val="03D32BD3"/>
    <w:rsid w:val="03D4427A"/>
    <w:rsid w:val="03DA220E"/>
    <w:rsid w:val="03E54642"/>
    <w:rsid w:val="03F25A24"/>
    <w:rsid w:val="03F54B29"/>
    <w:rsid w:val="03F81356"/>
    <w:rsid w:val="03F947E9"/>
    <w:rsid w:val="03FC7097"/>
    <w:rsid w:val="03FF3D36"/>
    <w:rsid w:val="04034FE6"/>
    <w:rsid w:val="040B2442"/>
    <w:rsid w:val="040B2534"/>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A74686"/>
    <w:rsid w:val="04C6655F"/>
    <w:rsid w:val="04CD2C67"/>
    <w:rsid w:val="04D66461"/>
    <w:rsid w:val="04D95F6F"/>
    <w:rsid w:val="04E06510"/>
    <w:rsid w:val="04ED5A99"/>
    <w:rsid w:val="04FB4499"/>
    <w:rsid w:val="04FF76AB"/>
    <w:rsid w:val="05010225"/>
    <w:rsid w:val="051034CD"/>
    <w:rsid w:val="051C4A8C"/>
    <w:rsid w:val="051F43BC"/>
    <w:rsid w:val="052432F7"/>
    <w:rsid w:val="05280A89"/>
    <w:rsid w:val="052A278C"/>
    <w:rsid w:val="052D14A7"/>
    <w:rsid w:val="05367F8C"/>
    <w:rsid w:val="053C34DE"/>
    <w:rsid w:val="053E1AC2"/>
    <w:rsid w:val="053E2B50"/>
    <w:rsid w:val="053E6829"/>
    <w:rsid w:val="05403ABE"/>
    <w:rsid w:val="0545651B"/>
    <w:rsid w:val="05564384"/>
    <w:rsid w:val="0558271B"/>
    <w:rsid w:val="05583DC1"/>
    <w:rsid w:val="055A77BF"/>
    <w:rsid w:val="055C5DB2"/>
    <w:rsid w:val="055C75CE"/>
    <w:rsid w:val="05631D30"/>
    <w:rsid w:val="05687505"/>
    <w:rsid w:val="05734531"/>
    <w:rsid w:val="05784E56"/>
    <w:rsid w:val="057C7AAB"/>
    <w:rsid w:val="057E7581"/>
    <w:rsid w:val="057F0408"/>
    <w:rsid w:val="05804262"/>
    <w:rsid w:val="05816D10"/>
    <w:rsid w:val="058C1A36"/>
    <w:rsid w:val="058E6ED4"/>
    <w:rsid w:val="05930F73"/>
    <w:rsid w:val="05940F3F"/>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A1213"/>
    <w:rsid w:val="05FB01BC"/>
    <w:rsid w:val="05FF3135"/>
    <w:rsid w:val="060030B7"/>
    <w:rsid w:val="060836A6"/>
    <w:rsid w:val="060C4293"/>
    <w:rsid w:val="060C5B07"/>
    <w:rsid w:val="060D249E"/>
    <w:rsid w:val="06111076"/>
    <w:rsid w:val="061146F4"/>
    <w:rsid w:val="06135ADC"/>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C540B"/>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94569"/>
    <w:rsid w:val="06BA7F49"/>
    <w:rsid w:val="06BB4F9D"/>
    <w:rsid w:val="06C72EBF"/>
    <w:rsid w:val="06C76C7A"/>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13C26"/>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B5EEE"/>
    <w:rsid w:val="091C6E55"/>
    <w:rsid w:val="091E4702"/>
    <w:rsid w:val="092073EA"/>
    <w:rsid w:val="092234B5"/>
    <w:rsid w:val="09223F7B"/>
    <w:rsid w:val="0922463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82368"/>
    <w:rsid w:val="0A3A0D5D"/>
    <w:rsid w:val="0A436A63"/>
    <w:rsid w:val="0A446B70"/>
    <w:rsid w:val="0A4719B5"/>
    <w:rsid w:val="0A4758B8"/>
    <w:rsid w:val="0A5056C6"/>
    <w:rsid w:val="0A5060D6"/>
    <w:rsid w:val="0A570EAE"/>
    <w:rsid w:val="0A5E32BF"/>
    <w:rsid w:val="0A5F4C2E"/>
    <w:rsid w:val="0A6B69C2"/>
    <w:rsid w:val="0A7200B0"/>
    <w:rsid w:val="0A741F08"/>
    <w:rsid w:val="0A771CA5"/>
    <w:rsid w:val="0A7777E9"/>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12DFC"/>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A1546A"/>
    <w:rsid w:val="0CA4660D"/>
    <w:rsid w:val="0CA46672"/>
    <w:rsid w:val="0CA92BAC"/>
    <w:rsid w:val="0CB02A2E"/>
    <w:rsid w:val="0CB07BBB"/>
    <w:rsid w:val="0CB176C1"/>
    <w:rsid w:val="0CB471A1"/>
    <w:rsid w:val="0CB90F2E"/>
    <w:rsid w:val="0CBB5A0F"/>
    <w:rsid w:val="0CCA1272"/>
    <w:rsid w:val="0CCD3B1C"/>
    <w:rsid w:val="0CD648E3"/>
    <w:rsid w:val="0CD70749"/>
    <w:rsid w:val="0CDB6FDB"/>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97B03"/>
    <w:rsid w:val="0D1A52C8"/>
    <w:rsid w:val="0D1C1D16"/>
    <w:rsid w:val="0D21615D"/>
    <w:rsid w:val="0D2454BF"/>
    <w:rsid w:val="0D252BC4"/>
    <w:rsid w:val="0D2767B5"/>
    <w:rsid w:val="0D3E327E"/>
    <w:rsid w:val="0D3E50C9"/>
    <w:rsid w:val="0D432A3E"/>
    <w:rsid w:val="0D433FF7"/>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D2CC7"/>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15942"/>
    <w:rsid w:val="0EE47A7C"/>
    <w:rsid w:val="0EE77EDF"/>
    <w:rsid w:val="0EEC53AA"/>
    <w:rsid w:val="0EF75D05"/>
    <w:rsid w:val="0EF957FE"/>
    <w:rsid w:val="0EFE2ACB"/>
    <w:rsid w:val="0F0569D4"/>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11210"/>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17B99"/>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A2AEE"/>
    <w:rsid w:val="114C3CA8"/>
    <w:rsid w:val="114D3A1D"/>
    <w:rsid w:val="11512899"/>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05F8A"/>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941EA"/>
    <w:rsid w:val="131B2229"/>
    <w:rsid w:val="131B463A"/>
    <w:rsid w:val="131D12BF"/>
    <w:rsid w:val="131D5DAE"/>
    <w:rsid w:val="13217B01"/>
    <w:rsid w:val="13253FC4"/>
    <w:rsid w:val="132625C2"/>
    <w:rsid w:val="132A7435"/>
    <w:rsid w:val="13322AD3"/>
    <w:rsid w:val="1335442A"/>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41CCA"/>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767C8"/>
    <w:rsid w:val="14D0185B"/>
    <w:rsid w:val="14DE753E"/>
    <w:rsid w:val="14E54E9B"/>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E02B1"/>
    <w:rsid w:val="15AE46FA"/>
    <w:rsid w:val="15AE5475"/>
    <w:rsid w:val="15B06B12"/>
    <w:rsid w:val="15B21729"/>
    <w:rsid w:val="15B75136"/>
    <w:rsid w:val="15BE3D9D"/>
    <w:rsid w:val="15C02C76"/>
    <w:rsid w:val="15C22DC5"/>
    <w:rsid w:val="15C4476E"/>
    <w:rsid w:val="15C61DCD"/>
    <w:rsid w:val="15D32F45"/>
    <w:rsid w:val="15D4474D"/>
    <w:rsid w:val="15D7597F"/>
    <w:rsid w:val="15E32BB5"/>
    <w:rsid w:val="15F53F0F"/>
    <w:rsid w:val="160A26D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620E2"/>
    <w:rsid w:val="174662BC"/>
    <w:rsid w:val="174A2BD1"/>
    <w:rsid w:val="174D3983"/>
    <w:rsid w:val="17595246"/>
    <w:rsid w:val="175E4288"/>
    <w:rsid w:val="175F6489"/>
    <w:rsid w:val="17650A34"/>
    <w:rsid w:val="17652ACF"/>
    <w:rsid w:val="176C704A"/>
    <w:rsid w:val="177653C5"/>
    <w:rsid w:val="17781A92"/>
    <w:rsid w:val="17844C56"/>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E6505"/>
    <w:rsid w:val="18CF7D05"/>
    <w:rsid w:val="18D979C0"/>
    <w:rsid w:val="18DE1E44"/>
    <w:rsid w:val="18DE5861"/>
    <w:rsid w:val="18DF766E"/>
    <w:rsid w:val="18E67034"/>
    <w:rsid w:val="18E73CC5"/>
    <w:rsid w:val="18E872D7"/>
    <w:rsid w:val="18E921AF"/>
    <w:rsid w:val="18EA68A3"/>
    <w:rsid w:val="18F06558"/>
    <w:rsid w:val="18F3471F"/>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C1059"/>
    <w:rsid w:val="194C176F"/>
    <w:rsid w:val="19500DD6"/>
    <w:rsid w:val="19521210"/>
    <w:rsid w:val="19537076"/>
    <w:rsid w:val="195621A4"/>
    <w:rsid w:val="19564B19"/>
    <w:rsid w:val="19580F8E"/>
    <w:rsid w:val="195E2D4F"/>
    <w:rsid w:val="195F336A"/>
    <w:rsid w:val="19614F51"/>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0E3F11"/>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0B2B"/>
    <w:rsid w:val="1A5F2F04"/>
    <w:rsid w:val="1A5F7253"/>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B02AE4"/>
    <w:rsid w:val="1AB359A1"/>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73181B"/>
    <w:rsid w:val="1B7906CE"/>
    <w:rsid w:val="1B7A6C9A"/>
    <w:rsid w:val="1B7D07F3"/>
    <w:rsid w:val="1B831B2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91032"/>
    <w:rsid w:val="1BDD2FB0"/>
    <w:rsid w:val="1BDF024C"/>
    <w:rsid w:val="1BE45128"/>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51F00"/>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F1D0C"/>
    <w:rsid w:val="1D1F72E2"/>
    <w:rsid w:val="1D2054C4"/>
    <w:rsid w:val="1D24658B"/>
    <w:rsid w:val="1D2E77E8"/>
    <w:rsid w:val="1D3E3364"/>
    <w:rsid w:val="1D41310E"/>
    <w:rsid w:val="1D457CE9"/>
    <w:rsid w:val="1D4969F4"/>
    <w:rsid w:val="1D4C117F"/>
    <w:rsid w:val="1D513E68"/>
    <w:rsid w:val="1D553E39"/>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EC45ED"/>
    <w:rsid w:val="1DF2745E"/>
    <w:rsid w:val="1DF71982"/>
    <w:rsid w:val="1DF8498F"/>
    <w:rsid w:val="1DFB452B"/>
    <w:rsid w:val="1DFC4095"/>
    <w:rsid w:val="1E02615D"/>
    <w:rsid w:val="1E034158"/>
    <w:rsid w:val="1E093D7D"/>
    <w:rsid w:val="1E143B97"/>
    <w:rsid w:val="1E183872"/>
    <w:rsid w:val="1E1D7E95"/>
    <w:rsid w:val="1E201A27"/>
    <w:rsid w:val="1E224747"/>
    <w:rsid w:val="1E2B2F2B"/>
    <w:rsid w:val="1E2C2585"/>
    <w:rsid w:val="1E304B88"/>
    <w:rsid w:val="1E377B48"/>
    <w:rsid w:val="1E3E02E7"/>
    <w:rsid w:val="1E5144D2"/>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C1621"/>
    <w:rsid w:val="1EED7A29"/>
    <w:rsid w:val="1EFF45DA"/>
    <w:rsid w:val="1F0D14F3"/>
    <w:rsid w:val="1F0E3B92"/>
    <w:rsid w:val="1F120D07"/>
    <w:rsid w:val="1F141EF2"/>
    <w:rsid w:val="1F176598"/>
    <w:rsid w:val="1F280D38"/>
    <w:rsid w:val="1F303EA7"/>
    <w:rsid w:val="1F30637A"/>
    <w:rsid w:val="1F3111CE"/>
    <w:rsid w:val="1F323579"/>
    <w:rsid w:val="1F332153"/>
    <w:rsid w:val="1F3B22B0"/>
    <w:rsid w:val="1F3C6AF7"/>
    <w:rsid w:val="1F405E44"/>
    <w:rsid w:val="1F4315DA"/>
    <w:rsid w:val="1F474931"/>
    <w:rsid w:val="1F4956E2"/>
    <w:rsid w:val="1F4A3D83"/>
    <w:rsid w:val="1F4E681F"/>
    <w:rsid w:val="1F5174F6"/>
    <w:rsid w:val="1F5324C1"/>
    <w:rsid w:val="1F561E2A"/>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47B3E"/>
    <w:rsid w:val="204619A3"/>
    <w:rsid w:val="204D7AED"/>
    <w:rsid w:val="204F58BE"/>
    <w:rsid w:val="204F595B"/>
    <w:rsid w:val="20532924"/>
    <w:rsid w:val="205A627C"/>
    <w:rsid w:val="206301A7"/>
    <w:rsid w:val="20642E89"/>
    <w:rsid w:val="2067334B"/>
    <w:rsid w:val="206D3F96"/>
    <w:rsid w:val="206D7380"/>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40AF9"/>
    <w:rsid w:val="21252CA9"/>
    <w:rsid w:val="212F6A59"/>
    <w:rsid w:val="213020AE"/>
    <w:rsid w:val="21306305"/>
    <w:rsid w:val="213170F5"/>
    <w:rsid w:val="21330562"/>
    <w:rsid w:val="21335DA6"/>
    <w:rsid w:val="21361B20"/>
    <w:rsid w:val="213D2F0D"/>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A0A33"/>
    <w:rsid w:val="224E39DE"/>
    <w:rsid w:val="224E74D0"/>
    <w:rsid w:val="22520D88"/>
    <w:rsid w:val="225C17EC"/>
    <w:rsid w:val="225C1E49"/>
    <w:rsid w:val="226761AD"/>
    <w:rsid w:val="22680B07"/>
    <w:rsid w:val="22681A0E"/>
    <w:rsid w:val="226E20BA"/>
    <w:rsid w:val="226F6A0D"/>
    <w:rsid w:val="22713317"/>
    <w:rsid w:val="22753A7D"/>
    <w:rsid w:val="227D6059"/>
    <w:rsid w:val="227F5037"/>
    <w:rsid w:val="228041D7"/>
    <w:rsid w:val="228A008B"/>
    <w:rsid w:val="228A2082"/>
    <w:rsid w:val="228D63FC"/>
    <w:rsid w:val="229A7E25"/>
    <w:rsid w:val="229D01C1"/>
    <w:rsid w:val="229F462B"/>
    <w:rsid w:val="22A63414"/>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10526"/>
    <w:rsid w:val="23B94969"/>
    <w:rsid w:val="23BD6F6C"/>
    <w:rsid w:val="23BF30A4"/>
    <w:rsid w:val="23C62FD3"/>
    <w:rsid w:val="23C80F4A"/>
    <w:rsid w:val="23CE5D21"/>
    <w:rsid w:val="23D160BB"/>
    <w:rsid w:val="23D2612A"/>
    <w:rsid w:val="23D33566"/>
    <w:rsid w:val="23D53925"/>
    <w:rsid w:val="23D9762E"/>
    <w:rsid w:val="23DF2C6B"/>
    <w:rsid w:val="23E14E6C"/>
    <w:rsid w:val="23E173A1"/>
    <w:rsid w:val="23E3610D"/>
    <w:rsid w:val="23E52298"/>
    <w:rsid w:val="23E94462"/>
    <w:rsid w:val="23EB3CC6"/>
    <w:rsid w:val="23F06611"/>
    <w:rsid w:val="24090775"/>
    <w:rsid w:val="240A6080"/>
    <w:rsid w:val="240E5D2B"/>
    <w:rsid w:val="24137B5B"/>
    <w:rsid w:val="24176341"/>
    <w:rsid w:val="24194B93"/>
    <w:rsid w:val="241E1F2D"/>
    <w:rsid w:val="24211333"/>
    <w:rsid w:val="2423778D"/>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B6A3F"/>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4786"/>
    <w:rsid w:val="25304AD5"/>
    <w:rsid w:val="25327207"/>
    <w:rsid w:val="25395126"/>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26803"/>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A5E6A"/>
    <w:rsid w:val="277E547B"/>
    <w:rsid w:val="278A6416"/>
    <w:rsid w:val="279408D2"/>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40E2A"/>
    <w:rsid w:val="2824417F"/>
    <w:rsid w:val="28255041"/>
    <w:rsid w:val="282B1213"/>
    <w:rsid w:val="282C061A"/>
    <w:rsid w:val="2835725E"/>
    <w:rsid w:val="283832F0"/>
    <w:rsid w:val="283A1E3E"/>
    <w:rsid w:val="283F0B9A"/>
    <w:rsid w:val="284543A1"/>
    <w:rsid w:val="28455B9B"/>
    <w:rsid w:val="28506F1C"/>
    <w:rsid w:val="285465E8"/>
    <w:rsid w:val="28553E1D"/>
    <w:rsid w:val="2859475D"/>
    <w:rsid w:val="285C4CC5"/>
    <w:rsid w:val="285E09C3"/>
    <w:rsid w:val="285F446B"/>
    <w:rsid w:val="2866568E"/>
    <w:rsid w:val="28693318"/>
    <w:rsid w:val="286B3B61"/>
    <w:rsid w:val="286B52E0"/>
    <w:rsid w:val="286C6B63"/>
    <w:rsid w:val="286D43F4"/>
    <w:rsid w:val="286F5A89"/>
    <w:rsid w:val="28754C0A"/>
    <w:rsid w:val="28765DD5"/>
    <w:rsid w:val="28821314"/>
    <w:rsid w:val="2891501A"/>
    <w:rsid w:val="28937E6D"/>
    <w:rsid w:val="289575D6"/>
    <w:rsid w:val="289C154A"/>
    <w:rsid w:val="28A20899"/>
    <w:rsid w:val="28A66523"/>
    <w:rsid w:val="28AD2029"/>
    <w:rsid w:val="28AE4FA7"/>
    <w:rsid w:val="28B135BA"/>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37FF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63F30"/>
    <w:rsid w:val="2A676AD0"/>
    <w:rsid w:val="2A687AA6"/>
    <w:rsid w:val="2A6A2073"/>
    <w:rsid w:val="2A6E3145"/>
    <w:rsid w:val="2A7317FC"/>
    <w:rsid w:val="2A752F2D"/>
    <w:rsid w:val="2A770CC7"/>
    <w:rsid w:val="2A780832"/>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960845"/>
    <w:rsid w:val="2BA252E6"/>
    <w:rsid w:val="2BA53554"/>
    <w:rsid w:val="2BAC4FE7"/>
    <w:rsid w:val="2BB0363B"/>
    <w:rsid w:val="2BB44220"/>
    <w:rsid w:val="2BB44986"/>
    <w:rsid w:val="2BB61EA7"/>
    <w:rsid w:val="2BBA6EF5"/>
    <w:rsid w:val="2BBD5502"/>
    <w:rsid w:val="2BBE53B4"/>
    <w:rsid w:val="2BC03979"/>
    <w:rsid w:val="2BC873B9"/>
    <w:rsid w:val="2BC941AF"/>
    <w:rsid w:val="2BD01C8D"/>
    <w:rsid w:val="2BDC02CD"/>
    <w:rsid w:val="2BDF4442"/>
    <w:rsid w:val="2BE64A3E"/>
    <w:rsid w:val="2BE708F0"/>
    <w:rsid w:val="2BEC4F7F"/>
    <w:rsid w:val="2BF00C4E"/>
    <w:rsid w:val="2BF01DD3"/>
    <w:rsid w:val="2BF428FD"/>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AC2D20"/>
    <w:rsid w:val="2CB95B41"/>
    <w:rsid w:val="2CBC4209"/>
    <w:rsid w:val="2CC12D54"/>
    <w:rsid w:val="2CC9742A"/>
    <w:rsid w:val="2CCB3003"/>
    <w:rsid w:val="2CD17849"/>
    <w:rsid w:val="2CD47078"/>
    <w:rsid w:val="2CDA4FDA"/>
    <w:rsid w:val="2CDC7091"/>
    <w:rsid w:val="2CE128DC"/>
    <w:rsid w:val="2CE16D71"/>
    <w:rsid w:val="2CE27F26"/>
    <w:rsid w:val="2CED6828"/>
    <w:rsid w:val="2CEE750A"/>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2F2CFF"/>
    <w:rsid w:val="2D306B85"/>
    <w:rsid w:val="2D313196"/>
    <w:rsid w:val="2D323D75"/>
    <w:rsid w:val="2D3F06B2"/>
    <w:rsid w:val="2D400A9F"/>
    <w:rsid w:val="2D526117"/>
    <w:rsid w:val="2D540857"/>
    <w:rsid w:val="2D590555"/>
    <w:rsid w:val="2D621327"/>
    <w:rsid w:val="2D621C05"/>
    <w:rsid w:val="2D63255D"/>
    <w:rsid w:val="2D6F3D99"/>
    <w:rsid w:val="2D726428"/>
    <w:rsid w:val="2D770975"/>
    <w:rsid w:val="2D7A06F1"/>
    <w:rsid w:val="2D8151A4"/>
    <w:rsid w:val="2D822B64"/>
    <w:rsid w:val="2D917699"/>
    <w:rsid w:val="2D976337"/>
    <w:rsid w:val="2D9C1AA5"/>
    <w:rsid w:val="2DA02E9C"/>
    <w:rsid w:val="2DAC4521"/>
    <w:rsid w:val="2DBB1852"/>
    <w:rsid w:val="2DBF0C3E"/>
    <w:rsid w:val="2DBF1601"/>
    <w:rsid w:val="2DBF44A4"/>
    <w:rsid w:val="2DBF4C3A"/>
    <w:rsid w:val="2DC464AC"/>
    <w:rsid w:val="2DC74F1E"/>
    <w:rsid w:val="2DC9792A"/>
    <w:rsid w:val="2DD06A7C"/>
    <w:rsid w:val="2DD06AF3"/>
    <w:rsid w:val="2DDA05BC"/>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2427"/>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EFF0D8B"/>
    <w:rsid w:val="2F002CCF"/>
    <w:rsid w:val="2F0159FC"/>
    <w:rsid w:val="2F0160A3"/>
    <w:rsid w:val="2F18561C"/>
    <w:rsid w:val="2F1A491A"/>
    <w:rsid w:val="2F1C3DF5"/>
    <w:rsid w:val="2F284812"/>
    <w:rsid w:val="2F2960CC"/>
    <w:rsid w:val="2F2F3D52"/>
    <w:rsid w:val="2F3B7B8B"/>
    <w:rsid w:val="2F3D481A"/>
    <w:rsid w:val="2F407763"/>
    <w:rsid w:val="2F417C99"/>
    <w:rsid w:val="2F4231B5"/>
    <w:rsid w:val="2F434B46"/>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0506A"/>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9660F"/>
    <w:rsid w:val="2FDB17E1"/>
    <w:rsid w:val="2FE20568"/>
    <w:rsid w:val="2FE37171"/>
    <w:rsid w:val="2FE7659F"/>
    <w:rsid w:val="2FF117AD"/>
    <w:rsid w:val="2FF17999"/>
    <w:rsid w:val="2FF335AC"/>
    <w:rsid w:val="2FF40BAE"/>
    <w:rsid w:val="2FF95633"/>
    <w:rsid w:val="2FFD391C"/>
    <w:rsid w:val="30010F70"/>
    <w:rsid w:val="30061BE7"/>
    <w:rsid w:val="300F7F13"/>
    <w:rsid w:val="30146B19"/>
    <w:rsid w:val="30151A88"/>
    <w:rsid w:val="301A523E"/>
    <w:rsid w:val="301C0A49"/>
    <w:rsid w:val="301E3C00"/>
    <w:rsid w:val="302757BF"/>
    <w:rsid w:val="30283CC8"/>
    <w:rsid w:val="302E1CAD"/>
    <w:rsid w:val="302E5A4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645C5"/>
    <w:rsid w:val="309B0CFB"/>
    <w:rsid w:val="309B2EEC"/>
    <w:rsid w:val="309E4272"/>
    <w:rsid w:val="30A67485"/>
    <w:rsid w:val="30A71AE3"/>
    <w:rsid w:val="30AE56DC"/>
    <w:rsid w:val="30B7307E"/>
    <w:rsid w:val="30BB5407"/>
    <w:rsid w:val="30BF034E"/>
    <w:rsid w:val="30C21A0E"/>
    <w:rsid w:val="30D43132"/>
    <w:rsid w:val="30DC45E8"/>
    <w:rsid w:val="30DD6027"/>
    <w:rsid w:val="30DE16AB"/>
    <w:rsid w:val="30E1221A"/>
    <w:rsid w:val="30E734EF"/>
    <w:rsid w:val="30F24AB3"/>
    <w:rsid w:val="30F44A95"/>
    <w:rsid w:val="30F77A98"/>
    <w:rsid w:val="30FA21D8"/>
    <w:rsid w:val="30FC2A23"/>
    <w:rsid w:val="31154308"/>
    <w:rsid w:val="31197ABC"/>
    <w:rsid w:val="311D5B14"/>
    <w:rsid w:val="31271357"/>
    <w:rsid w:val="312723F9"/>
    <w:rsid w:val="312D0545"/>
    <w:rsid w:val="312D1F98"/>
    <w:rsid w:val="3136546A"/>
    <w:rsid w:val="313A7B85"/>
    <w:rsid w:val="313E22A6"/>
    <w:rsid w:val="31412F85"/>
    <w:rsid w:val="31454E97"/>
    <w:rsid w:val="314A019C"/>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47035"/>
    <w:rsid w:val="31E83A8A"/>
    <w:rsid w:val="31F20023"/>
    <w:rsid w:val="31F31FF7"/>
    <w:rsid w:val="31F52FE4"/>
    <w:rsid w:val="31F536F7"/>
    <w:rsid w:val="31FA7AEE"/>
    <w:rsid w:val="31FB60C5"/>
    <w:rsid w:val="3200233A"/>
    <w:rsid w:val="32021A78"/>
    <w:rsid w:val="3209100C"/>
    <w:rsid w:val="321516D5"/>
    <w:rsid w:val="321E250B"/>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6D6980"/>
    <w:rsid w:val="32716F38"/>
    <w:rsid w:val="3272101B"/>
    <w:rsid w:val="32722131"/>
    <w:rsid w:val="327A3DD6"/>
    <w:rsid w:val="327E6AD8"/>
    <w:rsid w:val="32806BA0"/>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2C1A8F"/>
    <w:rsid w:val="333073BF"/>
    <w:rsid w:val="333A0536"/>
    <w:rsid w:val="333E0FE1"/>
    <w:rsid w:val="333F4C47"/>
    <w:rsid w:val="333F6941"/>
    <w:rsid w:val="33444CAD"/>
    <w:rsid w:val="334D7767"/>
    <w:rsid w:val="33610DDA"/>
    <w:rsid w:val="336124DA"/>
    <w:rsid w:val="3362171F"/>
    <w:rsid w:val="3366319E"/>
    <w:rsid w:val="336A11D9"/>
    <w:rsid w:val="336C2B69"/>
    <w:rsid w:val="336F5120"/>
    <w:rsid w:val="337009B5"/>
    <w:rsid w:val="337333AD"/>
    <w:rsid w:val="33743B62"/>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717FA"/>
    <w:rsid w:val="342D3CE2"/>
    <w:rsid w:val="34333AFC"/>
    <w:rsid w:val="34343D6C"/>
    <w:rsid w:val="34347DC5"/>
    <w:rsid w:val="34380493"/>
    <w:rsid w:val="34463967"/>
    <w:rsid w:val="344C08D2"/>
    <w:rsid w:val="345179FF"/>
    <w:rsid w:val="345543D1"/>
    <w:rsid w:val="34564E8B"/>
    <w:rsid w:val="345A1F55"/>
    <w:rsid w:val="345A7367"/>
    <w:rsid w:val="345D2CD0"/>
    <w:rsid w:val="3469688D"/>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8720D"/>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F5973"/>
    <w:rsid w:val="35E425DA"/>
    <w:rsid w:val="35E46823"/>
    <w:rsid w:val="35EA6509"/>
    <w:rsid w:val="35ED04DC"/>
    <w:rsid w:val="35F44E5C"/>
    <w:rsid w:val="35F45994"/>
    <w:rsid w:val="35F8217F"/>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32BC8"/>
    <w:rsid w:val="371A057C"/>
    <w:rsid w:val="371A5A8E"/>
    <w:rsid w:val="371B03AE"/>
    <w:rsid w:val="371E6151"/>
    <w:rsid w:val="37200042"/>
    <w:rsid w:val="37235104"/>
    <w:rsid w:val="37271A7B"/>
    <w:rsid w:val="37277663"/>
    <w:rsid w:val="372A07F2"/>
    <w:rsid w:val="37342518"/>
    <w:rsid w:val="37357964"/>
    <w:rsid w:val="373757CA"/>
    <w:rsid w:val="373B5161"/>
    <w:rsid w:val="373D6F58"/>
    <w:rsid w:val="37446333"/>
    <w:rsid w:val="37446A77"/>
    <w:rsid w:val="374D0B20"/>
    <w:rsid w:val="37557969"/>
    <w:rsid w:val="375D4473"/>
    <w:rsid w:val="37615F3C"/>
    <w:rsid w:val="37622A48"/>
    <w:rsid w:val="37663E25"/>
    <w:rsid w:val="376741E9"/>
    <w:rsid w:val="376B106B"/>
    <w:rsid w:val="376B527C"/>
    <w:rsid w:val="3772660A"/>
    <w:rsid w:val="3775168B"/>
    <w:rsid w:val="377652E3"/>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A5211"/>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B0AED"/>
    <w:rsid w:val="383B2EED"/>
    <w:rsid w:val="38463F5F"/>
    <w:rsid w:val="384C2D57"/>
    <w:rsid w:val="38557E21"/>
    <w:rsid w:val="3856501D"/>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9A4233"/>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43D30"/>
    <w:rsid w:val="39664BD0"/>
    <w:rsid w:val="39676A41"/>
    <w:rsid w:val="39686D44"/>
    <w:rsid w:val="39695DEF"/>
    <w:rsid w:val="396D2AA0"/>
    <w:rsid w:val="3973175F"/>
    <w:rsid w:val="39762B94"/>
    <w:rsid w:val="39796D2B"/>
    <w:rsid w:val="397E700C"/>
    <w:rsid w:val="39834074"/>
    <w:rsid w:val="39885108"/>
    <w:rsid w:val="398A2308"/>
    <w:rsid w:val="39907940"/>
    <w:rsid w:val="399602F5"/>
    <w:rsid w:val="399B5B0D"/>
    <w:rsid w:val="39A05979"/>
    <w:rsid w:val="39A471AE"/>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4F22B9"/>
    <w:rsid w:val="3A543180"/>
    <w:rsid w:val="3A616CAD"/>
    <w:rsid w:val="3A654A7F"/>
    <w:rsid w:val="3A6A3486"/>
    <w:rsid w:val="3A6F486B"/>
    <w:rsid w:val="3A711C68"/>
    <w:rsid w:val="3A7927E8"/>
    <w:rsid w:val="3A796E46"/>
    <w:rsid w:val="3A7A647F"/>
    <w:rsid w:val="3A7C159F"/>
    <w:rsid w:val="3A81194F"/>
    <w:rsid w:val="3A8B3C77"/>
    <w:rsid w:val="3A91536C"/>
    <w:rsid w:val="3A916A1A"/>
    <w:rsid w:val="3A93025F"/>
    <w:rsid w:val="3A971F5B"/>
    <w:rsid w:val="3A9A224E"/>
    <w:rsid w:val="3A9C1F8C"/>
    <w:rsid w:val="3A9D2551"/>
    <w:rsid w:val="3A9E53BA"/>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77B8A"/>
    <w:rsid w:val="3AE6488C"/>
    <w:rsid w:val="3AEE596A"/>
    <w:rsid w:val="3AF05C24"/>
    <w:rsid w:val="3AF17E09"/>
    <w:rsid w:val="3AF47143"/>
    <w:rsid w:val="3AF90FF9"/>
    <w:rsid w:val="3AF932C9"/>
    <w:rsid w:val="3AFD37D0"/>
    <w:rsid w:val="3AFE021B"/>
    <w:rsid w:val="3B016EE9"/>
    <w:rsid w:val="3B027CA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3D1618"/>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7FCF"/>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52575"/>
    <w:rsid w:val="3D272F24"/>
    <w:rsid w:val="3D2A76C4"/>
    <w:rsid w:val="3D2C61BC"/>
    <w:rsid w:val="3D2F4437"/>
    <w:rsid w:val="3D3662C4"/>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22306"/>
    <w:rsid w:val="3DA9667F"/>
    <w:rsid w:val="3DAA1B3A"/>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44A8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55F0F"/>
    <w:rsid w:val="3F556D23"/>
    <w:rsid w:val="3F5A4F9D"/>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DB0AC5"/>
    <w:rsid w:val="3FE1096B"/>
    <w:rsid w:val="3FE210C1"/>
    <w:rsid w:val="3FE403AE"/>
    <w:rsid w:val="3FE417DA"/>
    <w:rsid w:val="3FE85226"/>
    <w:rsid w:val="3FEB1C22"/>
    <w:rsid w:val="3FEC4DA4"/>
    <w:rsid w:val="3FEE2117"/>
    <w:rsid w:val="3FF17476"/>
    <w:rsid w:val="3FFA4D1C"/>
    <w:rsid w:val="3FFA58A6"/>
    <w:rsid w:val="3FFA5C63"/>
    <w:rsid w:val="3FFD735E"/>
    <w:rsid w:val="40073561"/>
    <w:rsid w:val="40073E39"/>
    <w:rsid w:val="400A1CFC"/>
    <w:rsid w:val="401C54A8"/>
    <w:rsid w:val="401D6DEE"/>
    <w:rsid w:val="401F7AF6"/>
    <w:rsid w:val="40201634"/>
    <w:rsid w:val="402079EB"/>
    <w:rsid w:val="402C52D5"/>
    <w:rsid w:val="40351564"/>
    <w:rsid w:val="40372C35"/>
    <w:rsid w:val="403870E4"/>
    <w:rsid w:val="403D2472"/>
    <w:rsid w:val="403D7C5C"/>
    <w:rsid w:val="40400533"/>
    <w:rsid w:val="40402A78"/>
    <w:rsid w:val="40407A9F"/>
    <w:rsid w:val="4048358D"/>
    <w:rsid w:val="4049754C"/>
    <w:rsid w:val="404B2521"/>
    <w:rsid w:val="404F7DEB"/>
    <w:rsid w:val="40505DE6"/>
    <w:rsid w:val="40572DA6"/>
    <w:rsid w:val="405A424E"/>
    <w:rsid w:val="406679A3"/>
    <w:rsid w:val="406D461C"/>
    <w:rsid w:val="406F7D87"/>
    <w:rsid w:val="407441CC"/>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7562"/>
    <w:rsid w:val="40FA38BC"/>
    <w:rsid w:val="40FE1447"/>
    <w:rsid w:val="41053DED"/>
    <w:rsid w:val="410F43CA"/>
    <w:rsid w:val="411333C0"/>
    <w:rsid w:val="411C3143"/>
    <w:rsid w:val="411E6FB6"/>
    <w:rsid w:val="41216875"/>
    <w:rsid w:val="41221EBF"/>
    <w:rsid w:val="412506DF"/>
    <w:rsid w:val="412834B1"/>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D33FC"/>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E4261"/>
    <w:rsid w:val="41FF4DFA"/>
    <w:rsid w:val="42001B5D"/>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4E37D0"/>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63D6B"/>
    <w:rsid w:val="42B92FAE"/>
    <w:rsid w:val="42C5796D"/>
    <w:rsid w:val="42CA4EB2"/>
    <w:rsid w:val="42CF52B4"/>
    <w:rsid w:val="42D02E55"/>
    <w:rsid w:val="42D216FF"/>
    <w:rsid w:val="42D420EA"/>
    <w:rsid w:val="42D67001"/>
    <w:rsid w:val="42E06A10"/>
    <w:rsid w:val="42EF51EC"/>
    <w:rsid w:val="42F46A4C"/>
    <w:rsid w:val="42F503E1"/>
    <w:rsid w:val="42F511BA"/>
    <w:rsid w:val="42F875D5"/>
    <w:rsid w:val="42FF3A37"/>
    <w:rsid w:val="43073BEF"/>
    <w:rsid w:val="430A5FFD"/>
    <w:rsid w:val="43112BE5"/>
    <w:rsid w:val="43120C73"/>
    <w:rsid w:val="4315434D"/>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C0DB2"/>
    <w:rsid w:val="43FC24CA"/>
    <w:rsid w:val="44051440"/>
    <w:rsid w:val="44095B4D"/>
    <w:rsid w:val="440C5D56"/>
    <w:rsid w:val="440E6370"/>
    <w:rsid w:val="441208E8"/>
    <w:rsid w:val="44153F0C"/>
    <w:rsid w:val="44174583"/>
    <w:rsid w:val="441A5200"/>
    <w:rsid w:val="441C4432"/>
    <w:rsid w:val="441D506D"/>
    <w:rsid w:val="441E6109"/>
    <w:rsid w:val="4425456D"/>
    <w:rsid w:val="44336EAB"/>
    <w:rsid w:val="44393BD3"/>
    <w:rsid w:val="444109FB"/>
    <w:rsid w:val="44416F50"/>
    <w:rsid w:val="444E22EA"/>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4485C"/>
    <w:rsid w:val="451C5E9C"/>
    <w:rsid w:val="45214561"/>
    <w:rsid w:val="452A22D2"/>
    <w:rsid w:val="452C5F0A"/>
    <w:rsid w:val="453401C9"/>
    <w:rsid w:val="45347499"/>
    <w:rsid w:val="453579B0"/>
    <w:rsid w:val="45385EDA"/>
    <w:rsid w:val="453F48AB"/>
    <w:rsid w:val="454036A6"/>
    <w:rsid w:val="45432A2A"/>
    <w:rsid w:val="45446179"/>
    <w:rsid w:val="45462E84"/>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A6874"/>
    <w:rsid w:val="457E31A2"/>
    <w:rsid w:val="45835C3C"/>
    <w:rsid w:val="45870E95"/>
    <w:rsid w:val="458B757C"/>
    <w:rsid w:val="458D679F"/>
    <w:rsid w:val="458F3ABC"/>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DE30BD"/>
    <w:rsid w:val="45E3021B"/>
    <w:rsid w:val="45E37678"/>
    <w:rsid w:val="45E526A6"/>
    <w:rsid w:val="45E56E31"/>
    <w:rsid w:val="45E66893"/>
    <w:rsid w:val="45E74201"/>
    <w:rsid w:val="45E826B2"/>
    <w:rsid w:val="45F4334C"/>
    <w:rsid w:val="460D2F84"/>
    <w:rsid w:val="460D3781"/>
    <w:rsid w:val="461B7F64"/>
    <w:rsid w:val="461F36FD"/>
    <w:rsid w:val="4627444E"/>
    <w:rsid w:val="462D4B2D"/>
    <w:rsid w:val="462E4FF5"/>
    <w:rsid w:val="46365246"/>
    <w:rsid w:val="463C41CD"/>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419BE"/>
    <w:rsid w:val="46B640D3"/>
    <w:rsid w:val="46B66C70"/>
    <w:rsid w:val="46CB31C9"/>
    <w:rsid w:val="46CD1F17"/>
    <w:rsid w:val="46D126E3"/>
    <w:rsid w:val="46D67289"/>
    <w:rsid w:val="46DB64CD"/>
    <w:rsid w:val="46DD1D17"/>
    <w:rsid w:val="46E1018C"/>
    <w:rsid w:val="46E462A3"/>
    <w:rsid w:val="46E53AB0"/>
    <w:rsid w:val="46EE5C1E"/>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57188"/>
    <w:rsid w:val="474A7769"/>
    <w:rsid w:val="474F3AFA"/>
    <w:rsid w:val="47502F2C"/>
    <w:rsid w:val="47505EC1"/>
    <w:rsid w:val="47561DDC"/>
    <w:rsid w:val="47592D4E"/>
    <w:rsid w:val="475E6263"/>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80F23"/>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7E1A6D"/>
    <w:rsid w:val="48850976"/>
    <w:rsid w:val="4886648B"/>
    <w:rsid w:val="488C5FA3"/>
    <w:rsid w:val="488D22FD"/>
    <w:rsid w:val="488E25F1"/>
    <w:rsid w:val="48903EFC"/>
    <w:rsid w:val="48931F3C"/>
    <w:rsid w:val="48942964"/>
    <w:rsid w:val="489B4431"/>
    <w:rsid w:val="489D3EF9"/>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64070"/>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A27F3"/>
    <w:rsid w:val="4A7C49BE"/>
    <w:rsid w:val="4A7D09F3"/>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03279"/>
    <w:rsid w:val="4AB113DF"/>
    <w:rsid w:val="4AB60988"/>
    <w:rsid w:val="4AB75FB2"/>
    <w:rsid w:val="4ABB3CDE"/>
    <w:rsid w:val="4AC13A00"/>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A5655"/>
    <w:rsid w:val="4BDC6EEC"/>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A77FF"/>
    <w:rsid w:val="4C1C0BD6"/>
    <w:rsid w:val="4C1E085C"/>
    <w:rsid w:val="4C1E7AAC"/>
    <w:rsid w:val="4C20259F"/>
    <w:rsid w:val="4C2840CB"/>
    <w:rsid w:val="4C312ECF"/>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28AA"/>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6263B"/>
    <w:rsid w:val="4CC82CB8"/>
    <w:rsid w:val="4CC91343"/>
    <w:rsid w:val="4CCB369E"/>
    <w:rsid w:val="4CCB7596"/>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4E0B28"/>
    <w:rsid w:val="4D527652"/>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1670B"/>
    <w:rsid w:val="4DF20FEE"/>
    <w:rsid w:val="4DF2434F"/>
    <w:rsid w:val="4DF43CA1"/>
    <w:rsid w:val="4E007E98"/>
    <w:rsid w:val="4E016672"/>
    <w:rsid w:val="4E066F25"/>
    <w:rsid w:val="4E0939E5"/>
    <w:rsid w:val="4E11493B"/>
    <w:rsid w:val="4E116CCD"/>
    <w:rsid w:val="4E1561BE"/>
    <w:rsid w:val="4E176DF3"/>
    <w:rsid w:val="4E1A2F68"/>
    <w:rsid w:val="4E1E7D0E"/>
    <w:rsid w:val="4E200716"/>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8722A"/>
    <w:rsid w:val="4E991182"/>
    <w:rsid w:val="4E9E5BA9"/>
    <w:rsid w:val="4E9F5613"/>
    <w:rsid w:val="4EA9172F"/>
    <w:rsid w:val="4EAC241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456B9"/>
    <w:rsid w:val="4F36758C"/>
    <w:rsid w:val="4F376D93"/>
    <w:rsid w:val="4F3957DF"/>
    <w:rsid w:val="4F3D4163"/>
    <w:rsid w:val="4F4E7DA7"/>
    <w:rsid w:val="4F50208E"/>
    <w:rsid w:val="4F560A53"/>
    <w:rsid w:val="4F611147"/>
    <w:rsid w:val="4F64562E"/>
    <w:rsid w:val="4F6E6F86"/>
    <w:rsid w:val="4F6F0016"/>
    <w:rsid w:val="4F7278C6"/>
    <w:rsid w:val="4F764CC2"/>
    <w:rsid w:val="4F7E1BFB"/>
    <w:rsid w:val="4F823D55"/>
    <w:rsid w:val="4F85034E"/>
    <w:rsid w:val="4F9000F4"/>
    <w:rsid w:val="4F983E33"/>
    <w:rsid w:val="4F9A0268"/>
    <w:rsid w:val="4F9B5328"/>
    <w:rsid w:val="4F9B61D7"/>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A77E4"/>
    <w:rsid w:val="505F1426"/>
    <w:rsid w:val="506309DB"/>
    <w:rsid w:val="50752AF6"/>
    <w:rsid w:val="50771C00"/>
    <w:rsid w:val="50772144"/>
    <w:rsid w:val="507D06D8"/>
    <w:rsid w:val="508027D4"/>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D4A1E"/>
    <w:rsid w:val="51184E6D"/>
    <w:rsid w:val="51187610"/>
    <w:rsid w:val="511C491F"/>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A1A2F"/>
    <w:rsid w:val="526A546C"/>
    <w:rsid w:val="52790FD9"/>
    <w:rsid w:val="52887A7D"/>
    <w:rsid w:val="52894DE6"/>
    <w:rsid w:val="528A605B"/>
    <w:rsid w:val="528C5E23"/>
    <w:rsid w:val="528D1034"/>
    <w:rsid w:val="52993DA6"/>
    <w:rsid w:val="529B5EE8"/>
    <w:rsid w:val="529F0D9B"/>
    <w:rsid w:val="52A54FA4"/>
    <w:rsid w:val="52AD7835"/>
    <w:rsid w:val="52BC0926"/>
    <w:rsid w:val="52BF7DD2"/>
    <w:rsid w:val="52CA3D8F"/>
    <w:rsid w:val="52CD21D8"/>
    <w:rsid w:val="52CF0A4A"/>
    <w:rsid w:val="52D84BFF"/>
    <w:rsid w:val="52DA2383"/>
    <w:rsid w:val="52DB10B0"/>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829B9"/>
    <w:rsid w:val="53DB35A3"/>
    <w:rsid w:val="53DC2808"/>
    <w:rsid w:val="53DD2CA6"/>
    <w:rsid w:val="53DE4BEA"/>
    <w:rsid w:val="53DF54A9"/>
    <w:rsid w:val="53E07B00"/>
    <w:rsid w:val="53E27BE1"/>
    <w:rsid w:val="53EC3D29"/>
    <w:rsid w:val="53EE37DC"/>
    <w:rsid w:val="53F82C13"/>
    <w:rsid w:val="53F90D34"/>
    <w:rsid w:val="53FA05A6"/>
    <w:rsid w:val="54002BFD"/>
    <w:rsid w:val="54066342"/>
    <w:rsid w:val="54096B9B"/>
    <w:rsid w:val="540A0F22"/>
    <w:rsid w:val="541942B6"/>
    <w:rsid w:val="541A28ED"/>
    <w:rsid w:val="541A3E14"/>
    <w:rsid w:val="541A40BD"/>
    <w:rsid w:val="541F38E3"/>
    <w:rsid w:val="542A1803"/>
    <w:rsid w:val="542A3FEF"/>
    <w:rsid w:val="542A5504"/>
    <w:rsid w:val="542F7A60"/>
    <w:rsid w:val="54346136"/>
    <w:rsid w:val="5438183D"/>
    <w:rsid w:val="54474162"/>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A7563"/>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70EEF"/>
    <w:rsid w:val="54DF688B"/>
    <w:rsid w:val="54E44DA8"/>
    <w:rsid w:val="54E85E2E"/>
    <w:rsid w:val="54E95643"/>
    <w:rsid w:val="54EF1FB8"/>
    <w:rsid w:val="5505644B"/>
    <w:rsid w:val="550E6C32"/>
    <w:rsid w:val="550F4585"/>
    <w:rsid w:val="551C2E90"/>
    <w:rsid w:val="552A5825"/>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9F7787"/>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6510CB"/>
    <w:rsid w:val="5666257F"/>
    <w:rsid w:val="56666652"/>
    <w:rsid w:val="56676126"/>
    <w:rsid w:val="566D6BBF"/>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85F5D"/>
    <w:rsid w:val="57692A18"/>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C9597B"/>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A6FBE"/>
    <w:rsid w:val="580F0825"/>
    <w:rsid w:val="580F5BC1"/>
    <w:rsid w:val="58153B58"/>
    <w:rsid w:val="581C6E66"/>
    <w:rsid w:val="58222A6D"/>
    <w:rsid w:val="5822786C"/>
    <w:rsid w:val="58243371"/>
    <w:rsid w:val="58293CFC"/>
    <w:rsid w:val="58296FA6"/>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45850"/>
    <w:rsid w:val="58A948C8"/>
    <w:rsid w:val="58AB1BA9"/>
    <w:rsid w:val="58B156C4"/>
    <w:rsid w:val="58B47394"/>
    <w:rsid w:val="58B80220"/>
    <w:rsid w:val="58B8443B"/>
    <w:rsid w:val="58B92428"/>
    <w:rsid w:val="58BB0B5F"/>
    <w:rsid w:val="58BC4002"/>
    <w:rsid w:val="58C47A68"/>
    <w:rsid w:val="58C6178A"/>
    <w:rsid w:val="58C77385"/>
    <w:rsid w:val="58CB4EB8"/>
    <w:rsid w:val="58D720A4"/>
    <w:rsid w:val="58DB456A"/>
    <w:rsid w:val="58E56245"/>
    <w:rsid w:val="58E909DD"/>
    <w:rsid w:val="58EB1C90"/>
    <w:rsid w:val="58EE536D"/>
    <w:rsid w:val="58F57D12"/>
    <w:rsid w:val="58F85EFA"/>
    <w:rsid w:val="59094784"/>
    <w:rsid w:val="590D2D27"/>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7E6E6B"/>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7507"/>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425EA"/>
    <w:rsid w:val="5A5534F6"/>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3FC9"/>
    <w:rsid w:val="5AC76ACB"/>
    <w:rsid w:val="5AD054B7"/>
    <w:rsid w:val="5AD149C0"/>
    <w:rsid w:val="5AD20D04"/>
    <w:rsid w:val="5AD308BE"/>
    <w:rsid w:val="5AD510F0"/>
    <w:rsid w:val="5AD822B6"/>
    <w:rsid w:val="5AD86DAA"/>
    <w:rsid w:val="5AF341EB"/>
    <w:rsid w:val="5AF405C5"/>
    <w:rsid w:val="5AF535B6"/>
    <w:rsid w:val="5AF82FCA"/>
    <w:rsid w:val="5AF8657A"/>
    <w:rsid w:val="5AFA42E0"/>
    <w:rsid w:val="5AFE5C3F"/>
    <w:rsid w:val="5AFF4835"/>
    <w:rsid w:val="5B000850"/>
    <w:rsid w:val="5B0C6EB5"/>
    <w:rsid w:val="5B152C30"/>
    <w:rsid w:val="5B187495"/>
    <w:rsid w:val="5B1945A0"/>
    <w:rsid w:val="5B1A2A0F"/>
    <w:rsid w:val="5B1B10FA"/>
    <w:rsid w:val="5B1B5003"/>
    <w:rsid w:val="5B216491"/>
    <w:rsid w:val="5B225A79"/>
    <w:rsid w:val="5B2445B5"/>
    <w:rsid w:val="5B2559CC"/>
    <w:rsid w:val="5B2A41C4"/>
    <w:rsid w:val="5B2B5E52"/>
    <w:rsid w:val="5B3E0A56"/>
    <w:rsid w:val="5B3E42C0"/>
    <w:rsid w:val="5B3F1012"/>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03935"/>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821F4"/>
    <w:rsid w:val="5C494C6D"/>
    <w:rsid w:val="5C4E5619"/>
    <w:rsid w:val="5C500AF8"/>
    <w:rsid w:val="5C517866"/>
    <w:rsid w:val="5C523483"/>
    <w:rsid w:val="5C5348B4"/>
    <w:rsid w:val="5C5617A7"/>
    <w:rsid w:val="5C5E033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55799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5B2B5A"/>
    <w:rsid w:val="5E5F0687"/>
    <w:rsid w:val="5E6454D9"/>
    <w:rsid w:val="5E680BE8"/>
    <w:rsid w:val="5E6B7FF0"/>
    <w:rsid w:val="5E6E17B7"/>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5503B"/>
    <w:rsid w:val="5EE55DDE"/>
    <w:rsid w:val="5EE71334"/>
    <w:rsid w:val="5EF04AC4"/>
    <w:rsid w:val="5EF47473"/>
    <w:rsid w:val="5EFE064F"/>
    <w:rsid w:val="5F061DE5"/>
    <w:rsid w:val="5F09081F"/>
    <w:rsid w:val="5F0B5BA1"/>
    <w:rsid w:val="5F1111AD"/>
    <w:rsid w:val="5F121A0D"/>
    <w:rsid w:val="5F1B27DE"/>
    <w:rsid w:val="5F243C26"/>
    <w:rsid w:val="5F265461"/>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D78DD"/>
    <w:rsid w:val="600F6605"/>
    <w:rsid w:val="60143AD3"/>
    <w:rsid w:val="60251BBC"/>
    <w:rsid w:val="60281FCD"/>
    <w:rsid w:val="602876AC"/>
    <w:rsid w:val="602D6A03"/>
    <w:rsid w:val="603215F4"/>
    <w:rsid w:val="603771DA"/>
    <w:rsid w:val="603A1B77"/>
    <w:rsid w:val="60447E31"/>
    <w:rsid w:val="604C5236"/>
    <w:rsid w:val="605006BC"/>
    <w:rsid w:val="60584E5C"/>
    <w:rsid w:val="606162D0"/>
    <w:rsid w:val="60674769"/>
    <w:rsid w:val="606E2944"/>
    <w:rsid w:val="606F545C"/>
    <w:rsid w:val="607079E9"/>
    <w:rsid w:val="60734371"/>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64182"/>
    <w:rsid w:val="62920187"/>
    <w:rsid w:val="6295194F"/>
    <w:rsid w:val="6299295E"/>
    <w:rsid w:val="629A07BC"/>
    <w:rsid w:val="629D61D1"/>
    <w:rsid w:val="62A274F4"/>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19C3"/>
    <w:rsid w:val="632936A9"/>
    <w:rsid w:val="632D6DAA"/>
    <w:rsid w:val="632E0749"/>
    <w:rsid w:val="632F06D8"/>
    <w:rsid w:val="63311536"/>
    <w:rsid w:val="63311C46"/>
    <w:rsid w:val="63317698"/>
    <w:rsid w:val="63340EAE"/>
    <w:rsid w:val="63403F5C"/>
    <w:rsid w:val="634331FC"/>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55EC6"/>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E94CAF"/>
    <w:rsid w:val="63F55755"/>
    <w:rsid w:val="63FB6EC6"/>
    <w:rsid w:val="63FD7654"/>
    <w:rsid w:val="640A7217"/>
    <w:rsid w:val="640B24A8"/>
    <w:rsid w:val="640C2BB6"/>
    <w:rsid w:val="640C6632"/>
    <w:rsid w:val="6411454E"/>
    <w:rsid w:val="641C32D6"/>
    <w:rsid w:val="64225C1C"/>
    <w:rsid w:val="642437E9"/>
    <w:rsid w:val="64340283"/>
    <w:rsid w:val="64340FCD"/>
    <w:rsid w:val="64377182"/>
    <w:rsid w:val="643B7181"/>
    <w:rsid w:val="643E4883"/>
    <w:rsid w:val="643F3FFC"/>
    <w:rsid w:val="644A69BC"/>
    <w:rsid w:val="644C372C"/>
    <w:rsid w:val="645026F0"/>
    <w:rsid w:val="64521327"/>
    <w:rsid w:val="645256C0"/>
    <w:rsid w:val="645B5DC0"/>
    <w:rsid w:val="645D3A6B"/>
    <w:rsid w:val="64613F6F"/>
    <w:rsid w:val="646310B8"/>
    <w:rsid w:val="64654C7D"/>
    <w:rsid w:val="646A06E2"/>
    <w:rsid w:val="646C4EF1"/>
    <w:rsid w:val="646C4FB8"/>
    <w:rsid w:val="646D2F37"/>
    <w:rsid w:val="64706C6F"/>
    <w:rsid w:val="6471159B"/>
    <w:rsid w:val="647C7BEB"/>
    <w:rsid w:val="64814078"/>
    <w:rsid w:val="6483791E"/>
    <w:rsid w:val="648A369D"/>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E1104"/>
    <w:rsid w:val="64DF1E48"/>
    <w:rsid w:val="64E02555"/>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67104F"/>
    <w:rsid w:val="66727620"/>
    <w:rsid w:val="66763229"/>
    <w:rsid w:val="66763EED"/>
    <w:rsid w:val="66782A0E"/>
    <w:rsid w:val="667930F9"/>
    <w:rsid w:val="6679372B"/>
    <w:rsid w:val="667B3C56"/>
    <w:rsid w:val="66822EA8"/>
    <w:rsid w:val="668B6CBD"/>
    <w:rsid w:val="66953491"/>
    <w:rsid w:val="66980BF6"/>
    <w:rsid w:val="66A27600"/>
    <w:rsid w:val="66A56CDB"/>
    <w:rsid w:val="66AC1D02"/>
    <w:rsid w:val="66AD6467"/>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A45590"/>
    <w:rsid w:val="67A67078"/>
    <w:rsid w:val="67A7132F"/>
    <w:rsid w:val="67AB1DC6"/>
    <w:rsid w:val="67AB1FA1"/>
    <w:rsid w:val="67AC341B"/>
    <w:rsid w:val="67B10069"/>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1204D"/>
    <w:rsid w:val="68240EAA"/>
    <w:rsid w:val="6825323C"/>
    <w:rsid w:val="682D20B0"/>
    <w:rsid w:val="682E0ED1"/>
    <w:rsid w:val="68304FB3"/>
    <w:rsid w:val="68356624"/>
    <w:rsid w:val="68364404"/>
    <w:rsid w:val="683A6CEA"/>
    <w:rsid w:val="683D75A2"/>
    <w:rsid w:val="683E1DD2"/>
    <w:rsid w:val="683F63B6"/>
    <w:rsid w:val="68436C4F"/>
    <w:rsid w:val="68451270"/>
    <w:rsid w:val="68460647"/>
    <w:rsid w:val="68467E8B"/>
    <w:rsid w:val="68495F2A"/>
    <w:rsid w:val="684F1282"/>
    <w:rsid w:val="6850356A"/>
    <w:rsid w:val="685465AC"/>
    <w:rsid w:val="68562439"/>
    <w:rsid w:val="686139AD"/>
    <w:rsid w:val="68650339"/>
    <w:rsid w:val="68651915"/>
    <w:rsid w:val="68670AE1"/>
    <w:rsid w:val="686A0AB4"/>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67EF2"/>
    <w:rsid w:val="68CA4525"/>
    <w:rsid w:val="68D94717"/>
    <w:rsid w:val="68DD619B"/>
    <w:rsid w:val="68EC3A15"/>
    <w:rsid w:val="68ED69A7"/>
    <w:rsid w:val="68FD5593"/>
    <w:rsid w:val="69032565"/>
    <w:rsid w:val="690616DE"/>
    <w:rsid w:val="69073414"/>
    <w:rsid w:val="690C4501"/>
    <w:rsid w:val="690F6069"/>
    <w:rsid w:val="6911326A"/>
    <w:rsid w:val="6914775B"/>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D1EDE"/>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9F562FC"/>
    <w:rsid w:val="6A036F5F"/>
    <w:rsid w:val="6A064BF7"/>
    <w:rsid w:val="6A093665"/>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14817"/>
    <w:rsid w:val="6AB45A03"/>
    <w:rsid w:val="6ABE4FFD"/>
    <w:rsid w:val="6AC76B40"/>
    <w:rsid w:val="6AD902D6"/>
    <w:rsid w:val="6AD909E0"/>
    <w:rsid w:val="6ADB4AC1"/>
    <w:rsid w:val="6ADC49EF"/>
    <w:rsid w:val="6ADC6960"/>
    <w:rsid w:val="6ADD4FD8"/>
    <w:rsid w:val="6ADD71F3"/>
    <w:rsid w:val="6AE26C27"/>
    <w:rsid w:val="6AED013C"/>
    <w:rsid w:val="6AEE59AB"/>
    <w:rsid w:val="6AF159FF"/>
    <w:rsid w:val="6AF421E2"/>
    <w:rsid w:val="6AF57F3A"/>
    <w:rsid w:val="6AF63F29"/>
    <w:rsid w:val="6AF7545E"/>
    <w:rsid w:val="6AFB7DF3"/>
    <w:rsid w:val="6AFE4F30"/>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6073E"/>
    <w:rsid w:val="6B6849C2"/>
    <w:rsid w:val="6B6C560D"/>
    <w:rsid w:val="6B705E52"/>
    <w:rsid w:val="6B735BFD"/>
    <w:rsid w:val="6B785D05"/>
    <w:rsid w:val="6B7F7BD7"/>
    <w:rsid w:val="6B846AF2"/>
    <w:rsid w:val="6B95396B"/>
    <w:rsid w:val="6BAA2D23"/>
    <w:rsid w:val="6BAC0EF7"/>
    <w:rsid w:val="6BAD2501"/>
    <w:rsid w:val="6BB90470"/>
    <w:rsid w:val="6BBB00B1"/>
    <w:rsid w:val="6BBD3E9D"/>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12679"/>
    <w:rsid w:val="6C1407B4"/>
    <w:rsid w:val="6C150C0B"/>
    <w:rsid w:val="6C155F31"/>
    <w:rsid w:val="6C1D7BEB"/>
    <w:rsid w:val="6C206E21"/>
    <w:rsid w:val="6C247F7B"/>
    <w:rsid w:val="6C263A06"/>
    <w:rsid w:val="6C265F77"/>
    <w:rsid w:val="6C2A2D42"/>
    <w:rsid w:val="6C3A624E"/>
    <w:rsid w:val="6C3F4795"/>
    <w:rsid w:val="6C3F6152"/>
    <w:rsid w:val="6C431738"/>
    <w:rsid w:val="6C442E2D"/>
    <w:rsid w:val="6C4B106D"/>
    <w:rsid w:val="6C505966"/>
    <w:rsid w:val="6C5D04BB"/>
    <w:rsid w:val="6C624A50"/>
    <w:rsid w:val="6C65329A"/>
    <w:rsid w:val="6C666C3C"/>
    <w:rsid w:val="6C6833E1"/>
    <w:rsid w:val="6C691082"/>
    <w:rsid w:val="6C726F5A"/>
    <w:rsid w:val="6C751A38"/>
    <w:rsid w:val="6C7707E9"/>
    <w:rsid w:val="6C882F2E"/>
    <w:rsid w:val="6C8E4315"/>
    <w:rsid w:val="6C9360FF"/>
    <w:rsid w:val="6C95615F"/>
    <w:rsid w:val="6CA94419"/>
    <w:rsid w:val="6CAB36D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52C79"/>
    <w:rsid w:val="6DA71839"/>
    <w:rsid w:val="6DA84071"/>
    <w:rsid w:val="6DB20233"/>
    <w:rsid w:val="6DB66FF0"/>
    <w:rsid w:val="6DB81D13"/>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B4CD0"/>
    <w:rsid w:val="6E1C2489"/>
    <w:rsid w:val="6E1D340A"/>
    <w:rsid w:val="6E1D776A"/>
    <w:rsid w:val="6E1E6844"/>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356A3"/>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8F339A"/>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30322"/>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33C3"/>
    <w:rsid w:val="716D67F7"/>
    <w:rsid w:val="716E08C5"/>
    <w:rsid w:val="71747EDF"/>
    <w:rsid w:val="7183292B"/>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75F4"/>
    <w:rsid w:val="73A0093B"/>
    <w:rsid w:val="73A16D22"/>
    <w:rsid w:val="73B001E3"/>
    <w:rsid w:val="73B1400F"/>
    <w:rsid w:val="73B4611E"/>
    <w:rsid w:val="73B7366A"/>
    <w:rsid w:val="73BA064C"/>
    <w:rsid w:val="73BB3C6E"/>
    <w:rsid w:val="73BF0635"/>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1F757B"/>
    <w:rsid w:val="74215D04"/>
    <w:rsid w:val="74250678"/>
    <w:rsid w:val="74257C35"/>
    <w:rsid w:val="742A0965"/>
    <w:rsid w:val="742D019C"/>
    <w:rsid w:val="742D6DB6"/>
    <w:rsid w:val="742E6655"/>
    <w:rsid w:val="742E74D7"/>
    <w:rsid w:val="743D0241"/>
    <w:rsid w:val="744642D9"/>
    <w:rsid w:val="74522D94"/>
    <w:rsid w:val="7467225C"/>
    <w:rsid w:val="746838B2"/>
    <w:rsid w:val="746B086B"/>
    <w:rsid w:val="746B2FD5"/>
    <w:rsid w:val="746C430C"/>
    <w:rsid w:val="746D6628"/>
    <w:rsid w:val="74712155"/>
    <w:rsid w:val="747569C1"/>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C50E20"/>
    <w:rsid w:val="74D575AA"/>
    <w:rsid w:val="74D662E5"/>
    <w:rsid w:val="74D71DDE"/>
    <w:rsid w:val="74D95703"/>
    <w:rsid w:val="74DA7956"/>
    <w:rsid w:val="74E11F86"/>
    <w:rsid w:val="74FB509B"/>
    <w:rsid w:val="74FB6035"/>
    <w:rsid w:val="74FF07F1"/>
    <w:rsid w:val="7502618E"/>
    <w:rsid w:val="7507587E"/>
    <w:rsid w:val="75076FFE"/>
    <w:rsid w:val="750934A8"/>
    <w:rsid w:val="750A15E4"/>
    <w:rsid w:val="750C76FA"/>
    <w:rsid w:val="751E29FC"/>
    <w:rsid w:val="752B3381"/>
    <w:rsid w:val="75325694"/>
    <w:rsid w:val="7534402F"/>
    <w:rsid w:val="75376E15"/>
    <w:rsid w:val="753B454F"/>
    <w:rsid w:val="753D2F68"/>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7F7954"/>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D0222"/>
    <w:rsid w:val="7600209C"/>
    <w:rsid w:val="760049B0"/>
    <w:rsid w:val="760200DC"/>
    <w:rsid w:val="760218FE"/>
    <w:rsid w:val="76070A73"/>
    <w:rsid w:val="761014A5"/>
    <w:rsid w:val="761279AC"/>
    <w:rsid w:val="761D371A"/>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B4B15"/>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00303"/>
    <w:rsid w:val="77062DA9"/>
    <w:rsid w:val="77095B34"/>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22AD"/>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742634"/>
    <w:rsid w:val="787659AD"/>
    <w:rsid w:val="78786731"/>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3B0"/>
    <w:rsid w:val="78C67D14"/>
    <w:rsid w:val="78C67F88"/>
    <w:rsid w:val="78C9689B"/>
    <w:rsid w:val="78CD3535"/>
    <w:rsid w:val="78D97F0E"/>
    <w:rsid w:val="78DA009A"/>
    <w:rsid w:val="78DC2FA9"/>
    <w:rsid w:val="78DD4939"/>
    <w:rsid w:val="78E062D1"/>
    <w:rsid w:val="78E33F6B"/>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15CAC"/>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8F43AA"/>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5F1C38"/>
    <w:rsid w:val="7B603C7C"/>
    <w:rsid w:val="7B6171E6"/>
    <w:rsid w:val="7B6452CE"/>
    <w:rsid w:val="7B65590F"/>
    <w:rsid w:val="7B696311"/>
    <w:rsid w:val="7B6C46EB"/>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D1B11"/>
    <w:rsid w:val="7BC17EBE"/>
    <w:rsid w:val="7BC212EB"/>
    <w:rsid w:val="7BC43666"/>
    <w:rsid w:val="7BC81295"/>
    <w:rsid w:val="7BC8293C"/>
    <w:rsid w:val="7BC87053"/>
    <w:rsid w:val="7BCD2F2C"/>
    <w:rsid w:val="7BD01BA1"/>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E7D8C"/>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01C03"/>
    <w:rsid w:val="7CA3583F"/>
    <w:rsid w:val="7CA67728"/>
    <w:rsid w:val="7CAE7576"/>
    <w:rsid w:val="7CB027DF"/>
    <w:rsid w:val="7CB2364E"/>
    <w:rsid w:val="7CB271E9"/>
    <w:rsid w:val="7CB62523"/>
    <w:rsid w:val="7CB912D6"/>
    <w:rsid w:val="7CC174E3"/>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F0F7A"/>
    <w:rsid w:val="7DA843EE"/>
    <w:rsid w:val="7DA84B27"/>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8519E"/>
    <w:rsid w:val="7E1A2016"/>
    <w:rsid w:val="7E1C55F3"/>
    <w:rsid w:val="7E202566"/>
    <w:rsid w:val="7E222965"/>
    <w:rsid w:val="7E293001"/>
    <w:rsid w:val="7E2D6A9A"/>
    <w:rsid w:val="7E2E7D3F"/>
    <w:rsid w:val="7E2F1D57"/>
    <w:rsid w:val="7E327E17"/>
    <w:rsid w:val="7E330B2F"/>
    <w:rsid w:val="7E347694"/>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D55364"/>
    <w:rsid w:val="7ED61FF8"/>
    <w:rsid w:val="7ED766B7"/>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1740B"/>
    <w:rsid w:val="7FB351E6"/>
    <w:rsid w:val="7FB422D4"/>
    <w:rsid w:val="7FCB3154"/>
    <w:rsid w:val="7FD277AE"/>
    <w:rsid w:val="7FDA2CD0"/>
    <w:rsid w:val="7FDB769F"/>
    <w:rsid w:val="7FE60FE4"/>
    <w:rsid w:val="7FEC3961"/>
    <w:rsid w:val="7FEC7AE0"/>
    <w:rsid w:val="7FEE568F"/>
    <w:rsid w:val="7FEF3E84"/>
    <w:rsid w:val="7FF10D9A"/>
    <w:rsid w:val="7FF1341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 w:type="paragraph" w:customStyle="1" w:styleId="109">
    <w:name w:val="Observation"/>
    <w:basedOn w:val="110"/>
    <w:qFormat/>
    <w:uiPriority w:val="0"/>
    <w:pPr>
      <w:numPr>
        <w:ilvl w:val="0"/>
        <w:numId w:val="2"/>
      </w:numPr>
      <w:jc w:val="left"/>
    </w:pPr>
    <w:rPr>
      <w:bCs w:val="0"/>
      <w:i/>
      <w:kern w:val="24"/>
    </w:rPr>
  </w:style>
  <w:style w:type="paragraph" w:customStyle="1" w:styleId="110">
    <w:name w:val="Proposal"/>
    <w:basedOn w:val="15"/>
    <w:next w:val="111"/>
    <w:qFormat/>
    <w:uiPriority w:val="0"/>
    <w:pPr>
      <w:numPr>
        <w:ilvl w:val="0"/>
        <w:numId w:val="3"/>
      </w:numPr>
      <w:spacing w:before="240"/>
      <w:jc w:val="both"/>
    </w:pPr>
    <w:rPr>
      <w:b/>
      <w:bCs/>
      <w:lang w:val="en-US"/>
    </w:rPr>
  </w:style>
  <w:style w:type="paragraph" w:customStyle="1" w:styleId="111">
    <w:name w:val="00 BodyText"/>
    <w:basedOn w:val="1"/>
    <w:qFormat/>
    <w:uiPriority w:val="0"/>
    <w:pPr>
      <w:overflowPunct/>
      <w:autoSpaceDE/>
      <w:autoSpaceDN/>
      <w:adjustRightInd/>
      <w:spacing w:after="220"/>
      <w:textAlignment w:val="auto"/>
    </w:pPr>
    <w:rPr>
      <w:rFonts w:ascii="Arial" w:hAnsi="Arial"/>
      <w:sz w:val="22"/>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oleObject" Target="embeddings/oleObject1.bin"/><Relationship Id="rId11" Type="http://schemas.openxmlformats.org/officeDocument/2006/relationships/image" Target="media/image5.wmf"/><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13</Pages>
  <Words>844</Words>
  <Characters>4659</Characters>
  <Lines>82</Lines>
  <Paragraphs>23</Paragraphs>
  <TotalTime>1</TotalTime>
  <ScaleCrop>false</ScaleCrop>
  <LinksUpToDate>false</LinksUpToDate>
  <CharactersWithSpaces>5508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2025-05-09T15:28:13Z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eyJoZGlkIjoiNTA2MDIzMjk0NzI5MmEzNWQ4YmNjZGZiMjgzNzc2MDMifQ==</vt:lpwstr>
  </property>
</Properties>
</file>